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bookmarkStart w:id="0" w:name="_GoBack"/>
      <w:bookmarkEnd w:id="0"/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4432300</wp:posOffset>
            </wp:positionH>
            <wp:positionV relativeFrom="paragraph">
              <wp:posOffset>70485</wp:posOffset>
            </wp:positionV>
            <wp:extent cx="857885" cy="2997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299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英国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 xml:space="preserve">伦敦政治经济学院 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暑期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专业学习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pStyle w:val="20"/>
        <w:widowControl/>
        <w:numPr>
          <w:ilvl w:val="0"/>
          <w:numId w:val="1"/>
        </w:numPr>
        <w:spacing w:line="360" w:lineRule="auto"/>
        <w:ind w:firstLineChars="0"/>
        <w:rPr>
          <w:rFonts w:cs="Calibri" w:asciiTheme="minorHAnsi" w:hAnsiTheme="minorHAnsi"/>
          <w:b/>
          <w:kern w:val="0"/>
          <w:szCs w:val="21"/>
        </w:rPr>
      </w:pPr>
      <w:r>
        <w:rPr>
          <w:rFonts w:hint="eastAsia" w:cs="Calibri" w:asciiTheme="minorHAnsi" w:hAnsiTheme="minorHAnsi"/>
          <w:b/>
          <w:kern w:val="0"/>
          <w:szCs w:val="21"/>
        </w:rPr>
        <w:t>项目综述</w:t>
      </w:r>
    </w:p>
    <w:p>
      <w:pPr>
        <w:widowControl/>
        <w:spacing w:line="360" w:lineRule="auto"/>
        <w:ind w:firstLine="42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伦敦政治经济学院（</w:t>
      </w:r>
      <w:r>
        <w:rPr>
          <w:rFonts w:hint="eastAsia" w:cs="Calibri" w:asciiTheme="minorHAnsi" w:hAnsiTheme="minorHAnsi"/>
          <w:kern w:val="0"/>
          <w:szCs w:val="21"/>
        </w:rPr>
        <w:t>London School of Economics and Political Science, 简称LSE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）暑期专业学习课程由L</w:t>
      </w:r>
      <w:r>
        <w:rPr>
          <w:rFonts w:asciiTheme="minorHAnsi" w:hAnsiTheme="minorHAnsi" w:eastAsiaTheme="majorEastAsia" w:cstheme="minorHAnsi"/>
          <w:kern w:val="0"/>
          <w:szCs w:val="21"/>
        </w:rPr>
        <w:t>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暑校（L</w:t>
      </w:r>
      <w:r>
        <w:rPr>
          <w:rFonts w:asciiTheme="minorHAnsi" w:hAnsiTheme="minorHAnsi" w:eastAsiaTheme="majorEastAsia" w:cstheme="minorHAnsi"/>
          <w:kern w:val="0"/>
          <w:szCs w:val="21"/>
        </w:rPr>
        <w:t>SE Summer School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）开设，旨在为来自世界各地的访学生提供为期三周的专业课程学习，包括丰富多元的学术主题，以满足不同领域学生的专业学习需求</w:t>
      </w:r>
      <w:r>
        <w:rPr>
          <w:rFonts w:asciiTheme="minorHAnsi" w:hAnsiTheme="minorHAnsi" w:eastAsiaTheme="majorEastAsia" w:cstheme="minorHAnsi"/>
          <w:kern w:val="0"/>
          <w:szCs w:val="21"/>
        </w:rPr>
        <w:t>。</w:t>
      </w:r>
      <w:r>
        <w:rPr>
          <w:rFonts w:hint="eastAsia" w:asciiTheme="minorHAnsi" w:hAnsiTheme="minorHAnsi" w:eastAsiaTheme="majorEastAsia" w:cstheme="minorHAnsi"/>
          <w:szCs w:val="21"/>
        </w:rPr>
        <w:t>LSE的暑校创办至今已有30多年历史，是在欧洲历史最悠久且在同类学校中规模最大的暑期学校，目前开设近100门各类课程。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全美国际教育协会作为L</w:t>
      </w:r>
      <w:r>
        <w:rPr>
          <w:rFonts w:asciiTheme="minorHAnsi" w:hAnsiTheme="minorHAnsi" w:eastAsiaTheme="majorEastAsia" w:cstheme="minorHAnsi"/>
          <w:kern w:val="0"/>
          <w:szCs w:val="21"/>
        </w:rPr>
        <w:t>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在中国的正式授权机构，负责选拔优秀中国大学生，于2026年暑期前往L</w:t>
      </w:r>
      <w:r>
        <w:rPr>
          <w:rFonts w:asciiTheme="minorHAnsi" w:hAnsiTheme="minorHAnsi" w:eastAsiaTheme="majorEastAsia" w:cstheme="minorHAnsi"/>
          <w:kern w:val="0"/>
          <w:szCs w:val="21"/>
        </w:rPr>
        <w:t>SE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参加为期三至四周的暑期专业学习项目。学生将与其他国际学生一起参与专业课程的学习</w:t>
      </w:r>
      <w:r>
        <w:rPr>
          <w:rFonts w:hint="eastAsia" w:asciiTheme="minorHAnsi" w:hAnsiTheme="minorHAnsi" w:eastAsiaTheme="majorEastAsia" w:cstheme="minorHAnsi"/>
          <w:szCs w:val="21"/>
        </w:rPr>
        <w:t>，充分体验L</w:t>
      </w:r>
      <w:r>
        <w:rPr>
          <w:rFonts w:asciiTheme="minorHAnsi" w:hAnsiTheme="minorHAnsi" w:eastAsiaTheme="majorEastAsia" w:cstheme="minorHAnsi"/>
          <w:szCs w:val="21"/>
        </w:rPr>
        <w:t>SE</w:t>
      </w:r>
      <w:r>
        <w:rPr>
          <w:rFonts w:hint="eastAsia" w:asciiTheme="minorHAnsi" w:hAnsiTheme="minorHAnsi" w:eastAsiaTheme="majorEastAsia" w:cstheme="minorHAnsi"/>
          <w:szCs w:val="21"/>
        </w:rPr>
        <w:t>严谨的学术氛围，同时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有效提升自身的英语水平以及专业素养。</w:t>
      </w:r>
    </w:p>
    <w:p>
      <w:pPr>
        <w:widowControl/>
        <w:spacing w:line="360" w:lineRule="auto"/>
        <w:ind w:firstLine="420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二、 </w:t>
      </w:r>
      <w:r>
        <w:rPr>
          <w:rFonts w:hint="eastAsia" w:cs="Calibri" w:asciiTheme="minorHAnsi" w:hAnsiTheme="minorHAnsi"/>
          <w:b/>
          <w:szCs w:val="21"/>
        </w:rPr>
        <w:t>伦敦政治经济学院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创建于</w:t>
      </w:r>
      <w:r>
        <w:rPr>
          <w:rFonts w:hint="eastAsia" w:cs="Calibri" w:asciiTheme="minorHAnsi" w:hAnsiTheme="minorHAnsi"/>
          <w:szCs w:val="21"/>
        </w:rPr>
        <w:t>1895年，</w:t>
      </w:r>
      <w:r>
        <w:rPr>
          <w:rFonts w:cs="Calibri" w:asciiTheme="minorHAnsi" w:hAnsiTheme="minorHAnsi"/>
          <w:szCs w:val="21"/>
        </w:rPr>
        <w:t>与</w:t>
      </w:r>
      <w:r>
        <w:rPr>
          <w:rFonts w:cs="Calibri" w:asciiTheme="minorHAnsi" w:hAnsiTheme="minorHAnsi"/>
        </w:rPr>
        <w:t>牛津大学</w:t>
      </w:r>
      <w:r>
        <w:rPr>
          <w:rFonts w:cs="Calibri" w:asciiTheme="minorHAnsi" w:hAnsiTheme="minorHAnsi"/>
          <w:szCs w:val="21"/>
        </w:rPr>
        <w:t>、</w:t>
      </w:r>
      <w:r>
        <w:rPr>
          <w:rFonts w:cs="Calibri" w:asciiTheme="minorHAnsi" w:hAnsiTheme="minorHAnsi"/>
        </w:rPr>
        <w:t>剑桥大学</w:t>
      </w:r>
      <w:r>
        <w:rPr>
          <w:rFonts w:cs="Calibri" w:asciiTheme="minorHAnsi" w:hAnsiTheme="minorHAnsi"/>
          <w:szCs w:val="21"/>
        </w:rPr>
        <w:t>、</w:t>
      </w:r>
      <w:r>
        <w:rPr>
          <w:rFonts w:cs="Calibri" w:asciiTheme="minorHAnsi" w:hAnsiTheme="minorHAnsi"/>
        </w:rPr>
        <w:t>伦敦大学学院</w:t>
      </w:r>
      <w:r>
        <w:rPr>
          <w:rFonts w:cs="Calibri" w:asciiTheme="minorHAnsi" w:hAnsiTheme="minorHAnsi"/>
          <w:szCs w:val="21"/>
        </w:rPr>
        <w:t>、</w:t>
      </w:r>
      <w:r>
        <w:rPr>
          <w:rFonts w:cs="Calibri" w:asciiTheme="minorHAnsi" w:hAnsiTheme="minorHAnsi"/>
        </w:rPr>
        <w:t>帝国理工学院</w:t>
      </w:r>
      <w:r>
        <w:rPr>
          <w:rFonts w:cs="Calibri" w:asciiTheme="minorHAnsi" w:hAnsiTheme="minorHAnsi"/>
          <w:szCs w:val="21"/>
        </w:rPr>
        <w:t>并称“</w:t>
      </w:r>
      <w:r>
        <w:rPr>
          <w:rFonts w:cs="Calibri" w:asciiTheme="minorHAnsi" w:hAnsiTheme="minorHAnsi"/>
        </w:rPr>
        <w:t>G5</w:t>
      </w:r>
      <w:r>
        <w:rPr>
          <w:rFonts w:cs="Calibri" w:asciiTheme="minorHAnsi" w:hAnsiTheme="minorHAnsi"/>
          <w:szCs w:val="21"/>
        </w:rPr>
        <w:t>超级精英大学”，也是英国</w:t>
      </w:r>
      <w:r>
        <w:rPr>
          <w:rFonts w:cs="Calibri" w:asciiTheme="minorHAnsi" w:hAnsiTheme="minorHAnsi"/>
        </w:rPr>
        <w:t>金三角名校</w:t>
      </w:r>
      <w:r>
        <w:rPr>
          <w:rFonts w:cs="Calibri" w:asciiTheme="minorHAnsi" w:hAnsiTheme="minorHAnsi"/>
          <w:szCs w:val="21"/>
        </w:rPr>
        <w:t>和</w:t>
      </w:r>
      <w:r>
        <w:rPr>
          <w:rFonts w:cs="Calibri" w:asciiTheme="minorHAnsi" w:hAnsiTheme="minorHAnsi"/>
        </w:rPr>
        <w:t>罗素大学集团</w:t>
      </w:r>
      <w:r>
        <w:rPr>
          <w:rFonts w:cs="Calibri" w:asciiTheme="minorHAnsi" w:hAnsiTheme="minorHAnsi"/>
          <w:szCs w:val="21"/>
        </w:rPr>
        <w:t>成员</w:t>
      </w:r>
      <w:r>
        <w:rPr>
          <w:rFonts w:hint="eastAsia" w:cs="Calibri" w:asciiTheme="minorHAnsi" w:hAnsiTheme="minorHAnsi"/>
          <w:szCs w:val="21"/>
        </w:rPr>
        <w:t>；</w:t>
      </w:r>
    </w:p>
    <w:p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2026年Times世界大学综合排名第52位； 2026年QS世界大学综合排名第56位，社会科学领域享誉世界，常年位</w:t>
      </w:r>
      <w:r>
        <w:rPr>
          <w:rFonts w:cs="Calibri" w:asciiTheme="minorHAnsi" w:hAnsiTheme="minorHAnsi"/>
          <w:szCs w:val="21"/>
        </w:rPr>
        <w:t>居欧洲</w:t>
      </w:r>
      <w:r>
        <w:rPr>
          <w:rFonts w:hint="eastAsia" w:cs="Calibri" w:asciiTheme="minorHAnsi" w:hAnsiTheme="minorHAnsi"/>
          <w:szCs w:val="21"/>
        </w:rPr>
        <w:t>前列；</w:t>
      </w:r>
    </w:p>
    <w:p>
      <w:pPr>
        <w:pStyle w:val="20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下设25个学术科系与</w:t>
      </w:r>
      <w:r>
        <w:rPr>
          <w:rFonts w:hint="eastAsia" w:asciiTheme="minorHAnsi" w:hAnsiTheme="minorHAnsi" w:eastAsiaTheme="majorEastAsia" w:cstheme="minorHAnsi"/>
          <w:szCs w:val="21"/>
        </w:rPr>
        <w:t>23个研究中心，</w:t>
      </w:r>
      <w:r>
        <w:rPr>
          <w:rFonts w:cs="Calibri" w:asciiTheme="minorHAnsi" w:hAnsiTheme="minorHAnsi"/>
          <w:szCs w:val="21"/>
        </w:rPr>
        <w:t>优势学科包括社会科学</w:t>
      </w:r>
      <w:r>
        <w:rPr>
          <w:rFonts w:hint="eastAsia" w:cs="Calibri" w:asciiTheme="minorHAnsi" w:hAnsiTheme="minorHAnsi"/>
          <w:szCs w:val="21"/>
        </w:rPr>
        <w:t>、</w:t>
      </w:r>
      <w:r>
        <w:rPr>
          <w:rFonts w:cs="Calibri" w:asciiTheme="minorHAnsi" w:hAnsiTheme="minorHAnsi"/>
          <w:szCs w:val="21"/>
        </w:rPr>
        <w:t>管理学</w:t>
      </w:r>
      <w:r>
        <w:rPr>
          <w:rFonts w:hint="eastAsia" w:cs="Calibri" w:asciiTheme="minorHAnsi" w:hAnsiTheme="minorHAnsi"/>
          <w:szCs w:val="21"/>
        </w:rPr>
        <w:t>、金融、商科、</w:t>
      </w:r>
      <w:r>
        <w:rPr>
          <w:rFonts w:cs="Calibri" w:asciiTheme="minorHAnsi" w:hAnsiTheme="minorHAnsi"/>
          <w:szCs w:val="21"/>
        </w:rPr>
        <w:t>经济学等</w:t>
      </w:r>
      <w:r>
        <w:rPr>
          <w:rFonts w:hint="eastAsia" w:cs="Calibri" w:asciiTheme="minorHAnsi" w:hAnsiTheme="minorHAnsi"/>
          <w:szCs w:val="21"/>
        </w:rPr>
        <w:t>，</w:t>
      </w:r>
      <w:r>
        <w:rPr>
          <w:rFonts w:cs="Calibri" w:asciiTheme="minorHAnsi" w:hAnsiTheme="minorHAnsi"/>
          <w:szCs w:val="21"/>
        </w:rPr>
        <w:t>校友及教员之中包括18名诺贝尔奖得奖者</w:t>
      </w:r>
      <w:r>
        <w:rPr>
          <w:rFonts w:hint="eastAsia" w:cs="Calibri" w:asciiTheme="minorHAnsi" w:hAnsiTheme="minorHAnsi"/>
          <w:szCs w:val="21"/>
        </w:rPr>
        <w:t>与</w:t>
      </w:r>
      <w:r>
        <w:rPr>
          <w:rFonts w:cs="Calibri" w:asciiTheme="minorHAnsi" w:hAnsiTheme="minorHAnsi"/>
          <w:szCs w:val="21"/>
        </w:rPr>
        <w:t>3</w:t>
      </w:r>
      <w:r>
        <w:rPr>
          <w:rFonts w:hint="eastAsia" w:cs="Calibri" w:asciiTheme="minorHAnsi" w:hAnsiTheme="minorHAnsi"/>
          <w:szCs w:val="21"/>
        </w:rPr>
        <w:t>7</w:t>
      </w:r>
      <w:r>
        <w:rPr>
          <w:rFonts w:cs="Calibri" w:asciiTheme="minorHAnsi" w:hAnsiTheme="minorHAnsi"/>
          <w:szCs w:val="21"/>
        </w:rPr>
        <w:t>名政府或国家元首</w:t>
      </w:r>
      <w:r>
        <w:rPr>
          <w:rFonts w:hint="eastAsia" w:cs="Calibri" w:asciiTheme="minorHAnsi" w:hAnsiTheme="minorHAnsi"/>
          <w:szCs w:val="21"/>
        </w:rPr>
        <w:t>；</w:t>
      </w:r>
    </w:p>
    <w:p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学校</w:t>
      </w:r>
      <w:r>
        <w:rPr>
          <w:rFonts w:asciiTheme="minorHAnsi" w:hAnsiTheme="minorHAnsi" w:cstheme="minorHAnsi"/>
          <w:kern w:val="0"/>
          <w:szCs w:val="21"/>
        </w:rPr>
        <w:t>位</w:t>
      </w:r>
      <w:r>
        <w:rPr>
          <w:rFonts w:cs="Calibri" w:asciiTheme="minorHAnsi" w:hAnsiTheme="minorHAnsi"/>
          <w:szCs w:val="21"/>
        </w:rPr>
        <w:t>于英国首都伦敦市中心，地理位置优越</w:t>
      </w:r>
      <w:r>
        <w:rPr>
          <w:rFonts w:hint="eastAsia" w:cs="Calibri" w:asciiTheme="minorHAnsi" w:hAnsiTheme="minorHAnsi"/>
          <w:szCs w:val="21"/>
        </w:rPr>
        <w:t>，</w:t>
      </w:r>
      <w:r>
        <w:rPr>
          <w:rFonts w:cs="Calibri" w:asciiTheme="minorHAnsi" w:hAnsiTheme="minorHAnsi"/>
          <w:szCs w:val="21"/>
        </w:rPr>
        <w:t>比邻</w:t>
      </w:r>
      <w:r>
        <w:rPr>
          <w:rFonts w:hint="eastAsia" w:cs="Calibri" w:asciiTheme="minorHAnsi" w:hAnsiTheme="minorHAnsi"/>
          <w:szCs w:val="21"/>
        </w:rPr>
        <w:t>国会</w:t>
      </w:r>
      <w:r>
        <w:rPr>
          <w:rFonts w:cs="Calibri" w:asciiTheme="minorHAnsi" w:hAnsiTheme="minorHAnsi"/>
          <w:szCs w:val="21"/>
        </w:rPr>
        <w:t>大厦</w:t>
      </w:r>
      <w:r>
        <w:rPr>
          <w:rFonts w:hint="eastAsia" w:cs="Calibri" w:asciiTheme="minorHAnsi" w:hAnsiTheme="minorHAnsi"/>
          <w:szCs w:val="21"/>
        </w:rPr>
        <w:t>、</w:t>
      </w:r>
      <w:r>
        <w:rPr>
          <w:rFonts w:cs="Calibri" w:asciiTheme="minorHAnsi" w:hAnsiTheme="minorHAnsi"/>
          <w:szCs w:val="21"/>
        </w:rPr>
        <w:t>大英博物馆</w:t>
      </w:r>
      <w:r>
        <w:rPr>
          <w:rFonts w:hint="eastAsia" w:cs="Calibri" w:asciiTheme="minorHAnsi" w:hAnsiTheme="minorHAnsi"/>
          <w:szCs w:val="21"/>
        </w:rPr>
        <w:t>、</w:t>
      </w:r>
      <w:r>
        <w:rPr>
          <w:rFonts w:cs="Calibri" w:asciiTheme="minorHAnsi" w:hAnsiTheme="minorHAnsi"/>
          <w:szCs w:val="21"/>
        </w:rPr>
        <w:t>特拉法加广场等地标建筑。</w:t>
      </w:r>
    </w:p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三、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项目介绍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第一期：</w:t>
      </w:r>
      <w:r>
        <w:rPr>
          <w:rFonts w:asciiTheme="minorHAnsi" w:hAnsiTheme="minorHAnsi" w:eastAsiaTheme="majorEastAsia" w:cstheme="minorHAnsi"/>
          <w:szCs w:val="21"/>
        </w:rPr>
        <w:t>20</w:t>
      </w:r>
      <w:r>
        <w:rPr>
          <w:rFonts w:hint="eastAsia" w:asciiTheme="minorHAnsi" w:hAnsiTheme="minorHAnsi" w:eastAsiaTheme="majorEastAsia" w:cstheme="minorHAnsi"/>
          <w:szCs w:val="21"/>
        </w:rPr>
        <w:t>26</w:t>
      </w:r>
      <w:r>
        <w:rPr>
          <w:rFonts w:asciiTheme="minorHAnsi" w:hAnsiTheme="minorHAnsi" w:eastAsiaTheme="majorEastAsia" w:cstheme="minorHAnsi"/>
          <w:szCs w:val="21"/>
        </w:rPr>
        <w:t>年</w:t>
      </w:r>
      <w:r>
        <w:rPr>
          <w:rFonts w:hint="eastAsia" w:asciiTheme="minorHAnsi" w:hAnsiTheme="minorHAnsi" w:eastAsiaTheme="majorEastAsia" w:cstheme="minorHAnsi"/>
          <w:szCs w:val="21"/>
        </w:rPr>
        <w:t>6</w:t>
      </w:r>
      <w:r>
        <w:rPr>
          <w:rFonts w:asciiTheme="minorHAnsi" w:hAnsiTheme="minorHAnsi" w:eastAsiaTheme="majorEastAsia" w:cstheme="minorHAnsi"/>
          <w:szCs w:val="21"/>
        </w:rPr>
        <w:t>月</w:t>
      </w:r>
      <w:r>
        <w:rPr>
          <w:rFonts w:hint="eastAsia" w:asciiTheme="minorHAnsi" w:hAnsiTheme="minorHAnsi" w:eastAsiaTheme="majorEastAsia" w:cstheme="minorHAnsi"/>
          <w:szCs w:val="21"/>
        </w:rPr>
        <w:t>21</w:t>
      </w:r>
      <w:r>
        <w:rPr>
          <w:rFonts w:asciiTheme="minorHAnsi" w:hAnsiTheme="minorHAnsi" w:eastAsiaTheme="majorEastAsia" w:cstheme="minorHAnsi"/>
          <w:szCs w:val="21"/>
        </w:rPr>
        <w:t>日 –</w:t>
      </w:r>
      <w:r>
        <w:rPr>
          <w:rFonts w:hint="eastAsia" w:asciiTheme="minorHAnsi" w:hAnsiTheme="minorHAnsi" w:eastAsiaTheme="majorEastAsia" w:cstheme="minorHAnsi"/>
          <w:szCs w:val="21"/>
        </w:rPr>
        <w:t xml:space="preserve"> 7</w:t>
      </w:r>
      <w:r>
        <w:rPr>
          <w:rFonts w:asciiTheme="minorHAnsi" w:hAnsiTheme="minorHAnsi" w:eastAsiaTheme="majorEastAsia" w:cstheme="minorHAnsi"/>
          <w:szCs w:val="21"/>
        </w:rPr>
        <w:t>月</w:t>
      </w:r>
      <w:r>
        <w:rPr>
          <w:rFonts w:hint="eastAsia" w:asciiTheme="minorHAnsi" w:hAnsiTheme="minorHAnsi" w:eastAsiaTheme="majorEastAsia" w:cstheme="minorHAnsi"/>
          <w:szCs w:val="21"/>
        </w:rPr>
        <w:t>11</w:t>
      </w:r>
      <w:r>
        <w:rPr>
          <w:rFonts w:asciiTheme="minorHAnsi" w:hAnsiTheme="minorHAnsi" w:eastAsiaTheme="majorEastAsia" w:cstheme="minorHAnsi"/>
          <w:szCs w:val="21"/>
        </w:rPr>
        <w:t>日（</w:t>
      </w:r>
      <w:r>
        <w:rPr>
          <w:rFonts w:hint="eastAsia" w:asciiTheme="minorHAnsi" w:hAnsiTheme="minorHAnsi" w:eastAsiaTheme="majorEastAsia" w:cstheme="minorHAnsi"/>
          <w:szCs w:val="21"/>
        </w:rPr>
        <w:t>3</w:t>
      </w:r>
      <w:r>
        <w:rPr>
          <w:rFonts w:asciiTheme="minorHAnsi" w:hAnsiTheme="minorHAnsi" w:eastAsiaTheme="majorEastAsia" w:cstheme="minorHAnsi"/>
          <w:szCs w:val="21"/>
        </w:rPr>
        <w:t>周）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第二期：2026年7月12日 </w:t>
      </w:r>
      <w:r>
        <w:rPr>
          <w:rFonts w:asciiTheme="minorHAnsi" w:hAnsiTheme="minorHAnsi" w:eastAsiaTheme="majorEastAsia" w:cstheme="minorHAnsi"/>
          <w:szCs w:val="21"/>
        </w:rPr>
        <w:t>–</w:t>
      </w:r>
      <w:r>
        <w:rPr>
          <w:rFonts w:hint="eastAsia" w:asciiTheme="minorHAnsi" w:hAnsiTheme="minorHAnsi" w:eastAsiaTheme="majorEastAsia" w:cstheme="minorHAnsi"/>
          <w:szCs w:val="21"/>
        </w:rPr>
        <w:t xml:space="preserve"> 8月1日（3周）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第三期：2026年8月2日 </w:t>
      </w:r>
      <w:r>
        <w:rPr>
          <w:rFonts w:asciiTheme="minorHAnsi" w:hAnsiTheme="minorHAnsi" w:eastAsiaTheme="majorEastAsia" w:cstheme="minorHAnsi"/>
          <w:szCs w:val="21"/>
        </w:rPr>
        <w:t>–</w:t>
      </w:r>
      <w:r>
        <w:rPr>
          <w:rFonts w:hint="eastAsia" w:asciiTheme="minorHAnsi" w:hAnsiTheme="minorHAnsi" w:eastAsiaTheme="majorEastAsia" w:cstheme="minorHAnsi"/>
          <w:szCs w:val="21"/>
        </w:rPr>
        <w:t xml:space="preserve"> 8月22日（3周）  </w:t>
      </w:r>
      <w:r>
        <w:rPr>
          <w:rFonts w:hint="eastAsia" w:asciiTheme="minorHAnsi" w:hAnsiTheme="minorHAnsi" w:eastAsiaTheme="majorEastAsia" w:cstheme="minorHAnsi"/>
          <w:b/>
          <w:szCs w:val="21"/>
        </w:rPr>
        <w:t xml:space="preserve"> </w:t>
      </w:r>
    </w:p>
    <w:p>
      <w:pPr>
        <w:spacing w:line="360" w:lineRule="auto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cs="Calibri" w:asciiTheme="minorHAnsi" w:hAnsiTheme="minorHAnsi"/>
          <w:szCs w:val="21"/>
        </w:rPr>
        <w:br w:type="textWrapping"/>
      </w: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LSE暑期专业学习课程每期为三周，包括至少54小时授课时间，其中包括36小时讲座与18小时班级研讨，同时学生每天还需花约2至3小时用于自主学习。每期课程学生选择一门专业课，主要领域包括会计学、商科与管理、经济学、金融、国际关系、法律、科研方法/数据科学/数学、英语等。每个领域的课程均由浅至深分为100、200和300三种级别，选择200和300级别的课程通常要求学生在国内大学已经修读过相关专业课程。 详细的选课列表请见附件一，更多课程详情和先修课程的要求，可参考</w:t>
      </w:r>
      <w:r>
        <w:fldChar w:fldCharType="begin"/>
      </w:r>
      <w:r>
        <w:instrText xml:space="preserve"> HYPERLINK "https://www.lse.ac.uk/study-at-lse/summer-schools/summer-school/courses" </w:instrText>
      </w:r>
      <w:r>
        <w:fldChar w:fldCharType="separate"/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t>学校官网</w:t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>。</w:t>
      </w:r>
    </w:p>
    <w:p>
      <w:pPr>
        <w:widowControl/>
        <w:spacing w:line="360" w:lineRule="auto"/>
        <w:ind w:left="420" w:left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【英语预备课程】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szCs w:val="21"/>
        </w:rPr>
        <w:t>不具备有效托福或雅思成绩的学生，可在申请时提交符合要求的大学英语四级或六级成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绩。学生必须先完成一周英语预备课程后，再参加常规专业课的学习，即项目时长总共为四周。各期英语预备课程的日期与授课形式分别为：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第一期：</w:t>
      </w:r>
      <w:r>
        <w:rPr>
          <w:rFonts w:asciiTheme="minorHAnsi" w:hAnsiTheme="minorHAnsi" w:eastAsiaTheme="majorEastAsia" w:cstheme="minorHAnsi"/>
          <w:szCs w:val="21"/>
        </w:rPr>
        <w:t>20</w:t>
      </w:r>
      <w:r>
        <w:rPr>
          <w:rFonts w:hint="eastAsia" w:asciiTheme="minorHAnsi" w:hAnsiTheme="minorHAnsi" w:eastAsiaTheme="majorEastAsia" w:cstheme="minorHAnsi"/>
          <w:szCs w:val="21"/>
        </w:rPr>
        <w:t>26</w:t>
      </w:r>
      <w:r>
        <w:rPr>
          <w:rFonts w:asciiTheme="minorHAnsi" w:hAnsiTheme="minorHAnsi" w:eastAsiaTheme="majorEastAsia" w:cstheme="minorHAnsi"/>
          <w:szCs w:val="21"/>
        </w:rPr>
        <w:t>年</w:t>
      </w:r>
      <w:r>
        <w:rPr>
          <w:rFonts w:hint="eastAsia" w:asciiTheme="minorHAnsi" w:hAnsiTheme="minorHAnsi" w:eastAsiaTheme="majorEastAsia" w:cstheme="minorHAnsi"/>
          <w:szCs w:val="21"/>
        </w:rPr>
        <w:t>6</w:t>
      </w:r>
      <w:r>
        <w:rPr>
          <w:rFonts w:asciiTheme="minorHAnsi" w:hAnsiTheme="minorHAnsi" w:eastAsiaTheme="majorEastAsia" w:cstheme="minorHAnsi"/>
          <w:szCs w:val="21"/>
        </w:rPr>
        <w:t>月1</w:t>
      </w:r>
      <w:r>
        <w:rPr>
          <w:rFonts w:hint="eastAsia" w:asciiTheme="minorHAnsi" w:hAnsiTheme="minorHAnsi" w:eastAsiaTheme="majorEastAsia" w:cstheme="minorHAnsi"/>
          <w:szCs w:val="21"/>
        </w:rPr>
        <w:t>5</w:t>
      </w:r>
      <w:r>
        <w:rPr>
          <w:rFonts w:asciiTheme="minorHAnsi" w:hAnsiTheme="minorHAnsi" w:eastAsiaTheme="majorEastAsia" w:cstheme="minorHAnsi"/>
          <w:szCs w:val="21"/>
        </w:rPr>
        <w:t>日</w:t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>– 6</w:t>
      </w:r>
      <w:r>
        <w:rPr>
          <w:rFonts w:hint="eastAsia" w:asciiTheme="minorHAnsi" w:hAnsiTheme="minorHAnsi" w:eastAsiaTheme="majorEastAsia" w:cstheme="minorHAnsi"/>
          <w:szCs w:val="21"/>
        </w:rPr>
        <w:t>月19日（远程在线）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第二期：2026年7月6日 </w:t>
      </w:r>
      <w:r>
        <w:rPr>
          <w:rFonts w:asciiTheme="minorHAnsi" w:hAnsiTheme="minorHAnsi" w:eastAsiaTheme="majorEastAsia" w:cstheme="minorHAnsi"/>
          <w:szCs w:val="21"/>
        </w:rPr>
        <w:t>– 7</w:t>
      </w:r>
      <w:r>
        <w:rPr>
          <w:rFonts w:hint="eastAsia" w:asciiTheme="minorHAnsi" w:hAnsiTheme="minorHAnsi" w:eastAsiaTheme="majorEastAsia" w:cstheme="minorHAnsi"/>
          <w:szCs w:val="21"/>
        </w:rPr>
        <w:t>月10日（远程在线）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第三期：2026年</w:t>
      </w:r>
      <w:r>
        <w:rPr>
          <w:rFonts w:asciiTheme="minorHAnsi" w:hAnsiTheme="minorHAnsi" w:eastAsiaTheme="majorEastAsia" w:cstheme="minorHAnsi"/>
          <w:szCs w:val="21"/>
        </w:rPr>
        <w:t>7</w:t>
      </w:r>
      <w:r>
        <w:rPr>
          <w:rFonts w:hint="eastAsia" w:asciiTheme="minorHAnsi" w:hAnsiTheme="minorHAnsi" w:eastAsiaTheme="majorEastAsia" w:cstheme="minorHAnsi"/>
          <w:szCs w:val="21"/>
        </w:rPr>
        <w:t xml:space="preserve">月27日 </w:t>
      </w:r>
      <w:r>
        <w:rPr>
          <w:rFonts w:asciiTheme="minorHAnsi" w:hAnsiTheme="minorHAnsi" w:eastAsiaTheme="majorEastAsia" w:cstheme="minorHAnsi"/>
          <w:szCs w:val="21"/>
        </w:rPr>
        <w:t xml:space="preserve">– </w:t>
      </w:r>
      <w:r>
        <w:rPr>
          <w:rFonts w:hint="eastAsia" w:asciiTheme="minorHAnsi" w:hAnsiTheme="minorHAnsi" w:eastAsiaTheme="majorEastAsia" w:cstheme="minorHAnsi"/>
          <w:szCs w:val="21"/>
        </w:rPr>
        <w:t xml:space="preserve">7月31日（伦敦实地）  </w:t>
      </w:r>
      <w:r>
        <w:rPr>
          <w:rFonts w:hint="eastAsia" w:asciiTheme="minorHAnsi" w:hAnsiTheme="minorHAnsi" w:eastAsiaTheme="majorEastAsia" w:cstheme="minorHAnsi"/>
          <w:b/>
          <w:szCs w:val="21"/>
        </w:rPr>
        <w:t xml:space="preserve"> </w:t>
      </w: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项目考核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参加项目的学生与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其他</w:t>
      </w:r>
      <w:r>
        <w:rPr>
          <w:rFonts w:cs="Arial" w:asciiTheme="minorHAnsi" w:hAnsiTheme="minorHAnsi"/>
          <w:color w:val="333333"/>
          <w:kern w:val="0"/>
          <w:szCs w:val="21"/>
        </w:rPr>
        <w:t>国际</w:t>
      </w:r>
      <w:r>
        <w:rPr>
          <w:rFonts w:asciiTheme="minorHAnsi" w:hAnsiTheme="minorHAnsi" w:eastAsiaTheme="majorEastAsia" w:cstheme="minorHAnsi"/>
          <w:szCs w:val="21"/>
        </w:rPr>
        <w:t>学生混合编班，由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LSE</w:t>
      </w:r>
      <w:r>
        <w:rPr>
          <w:rFonts w:asciiTheme="minorHAnsi" w:hAnsiTheme="minorHAnsi" w:eastAsiaTheme="majorEastAsia" w:cstheme="minorHAnsi"/>
          <w:szCs w:val="21"/>
        </w:rPr>
        <w:t>进行统一的学术管理与学术考核。</w:t>
      </w:r>
      <w:r>
        <w:rPr>
          <w:rFonts w:hint="eastAsia" w:asciiTheme="minorHAnsi" w:hAnsiTheme="minorHAnsi" w:eastAsiaTheme="majorEastAsia" w:cstheme="minorHAnsi"/>
          <w:szCs w:val="21"/>
        </w:rPr>
        <w:t>课程的考核方式通常为两次笔试、或一次期末考试加考核作业。完成学习并通过考核后，学生将获得LSE颁发的正式成绩单与项目证书。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2317750</wp:posOffset>
            </wp:positionH>
            <wp:positionV relativeFrom="paragraph">
              <wp:posOffset>-762635</wp:posOffset>
            </wp:positionV>
            <wp:extent cx="2209800" cy="2724785"/>
            <wp:effectExtent l="19050" t="19050" r="19050" b="1841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7247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-791845</wp:posOffset>
            </wp:positionV>
            <wp:extent cx="2124075" cy="2752725"/>
            <wp:effectExtent l="0" t="0" r="9525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图：LSE暑期课程成绩单与证书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ind w:firstLine="440" w:firstLineChars="200"/>
        <w:rPr>
          <w:rFonts w:cs="Calibri" w:asciiTheme="minorHAnsi" w:hAnsiTheme="minorHAnsi"/>
          <w:sz w:val="22"/>
          <w:szCs w:val="22"/>
        </w:rPr>
      </w:pPr>
      <w:r>
        <w:rPr>
          <w:rFonts w:hint="eastAsia" w:cs="Calibri" w:asciiTheme="minorHAnsi" w:hAnsiTheme="minorHAnsi"/>
          <w:sz w:val="22"/>
          <w:szCs w:val="22"/>
        </w:rPr>
        <w:t>项目学生均可获得</w:t>
      </w:r>
      <w:r>
        <w:rPr>
          <w:rFonts w:hint="eastAsia" w:asciiTheme="minorHAnsi" w:hAnsiTheme="minorHAnsi" w:eastAsiaTheme="majorEastAsia" w:cstheme="minorHAnsi"/>
          <w:szCs w:val="21"/>
        </w:rPr>
        <w:t>LSE</w:t>
      </w:r>
      <w:r>
        <w:rPr>
          <w:rFonts w:hint="eastAsia" w:cs="Calibri" w:asciiTheme="minorHAnsi" w:hAnsiTheme="minorHAnsi"/>
          <w:sz w:val="22"/>
          <w:szCs w:val="22"/>
        </w:rPr>
        <w:t>正式注册的学生证，凭借学生证可在项目期内，按校方规定使用学校的校园设施与教育资源，包括图书馆、健身房、活动中心等。</w:t>
      </w:r>
      <w:r>
        <w:rPr>
          <w:rFonts w:hint="eastAsia" w:asciiTheme="minorHAnsi" w:hAnsiTheme="minorHAnsi" w:eastAsiaTheme="majorEastAsia" w:cstheme="minorHAnsi"/>
          <w:szCs w:val="21"/>
        </w:rPr>
        <w:t>参加LSE暑期课程的学生可入住</w:t>
      </w:r>
      <w:r>
        <w:rPr>
          <w:rFonts w:asciiTheme="minorHAnsi" w:hAnsiTheme="minorHAnsi" w:eastAsiaTheme="majorEastAsia" w:cstheme="minorHAnsi"/>
          <w:szCs w:val="21"/>
        </w:rPr>
        <w:t>学校公寓</w:t>
      </w:r>
      <w:r>
        <w:rPr>
          <w:rFonts w:hint="eastAsia" w:asciiTheme="minorHAnsi" w:hAnsiTheme="minorHAnsi" w:eastAsiaTheme="majorEastAsia" w:cstheme="minorHAnsi"/>
          <w:szCs w:val="21"/>
        </w:rPr>
        <w:t>（大部分位于伦敦市中心）。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参加一期暑期专业课程（3周）的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项目费用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约人民币3.83万元。如需提前修读1周英语预备课程，则4周课程的项目费用约人民币4.82万元。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学费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申请费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、医疗与意外险、接机、以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及项目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服务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机票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、英国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签证费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、住宿/餐费、与个人消费</w:t>
            </w:r>
          </w:p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注：L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SE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的学生公寓价格因地点不同而存在差异，以最终实际预订情况为准。</w:t>
            </w:r>
          </w:p>
        </w:tc>
      </w:tr>
    </w:tbl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四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20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英语要求</w:t>
      </w:r>
      <w:r>
        <w:rPr>
          <w:rFonts w:hint="eastAsia" w:asciiTheme="minorHAnsi" w:hAnsiTheme="minorHAnsi" w:eastAsiaTheme="majorEastAsia" w:cstheme="minorHAnsi"/>
          <w:szCs w:val="21"/>
        </w:rPr>
        <w:t>（所有成绩需要在有效期2年内）：</w:t>
      </w:r>
    </w:p>
    <w:p>
      <w:pPr>
        <w:pStyle w:val="20"/>
        <w:numPr>
          <w:ilvl w:val="1"/>
          <w:numId w:val="4"/>
        </w:numPr>
        <w:spacing w:line="360" w:lineRule="auto"/>
        <w:ind w:left="420" w:leftChars="200" w:firstLineChars="0"/>
        <w:rPr>
          <w:rFonts w:asciiTheme="minorHAnsi" w:hAnsiTheme="minorHAnsi" w:eastAsiaTheme="majorEastAsia" w:cstheme="minorHAnsi"/>
          <w:szCs w:val="21"/>
        </w:rPr>
      </w:pPr>
      <w:r>
        <w:t>托福107</w:t>
      </w:r>
      <w:r>
        <w:rPr>
          <w:rFonts w:hint="eastAsia"/>
        </w:rPr>
        <w:t>分</w:t>
      </w:r>
      <w:r>
        <w:t>（单项不低于25</w:t>
      </w:r>
      <w:r>
        <w:rPr>
          <w:rFonts w:hint="eastAsia"/>
        </w:rPr>
        <w:t>分</w:t>
      </w:r>
      <w:r>
        <w:t>）；雅思7.0</w:t>
      </w:r>
      <w:r>
        <w:rPr>
          <w:rFonts w:hint="eastAsia"/>
        </w:rPr>
        <w:t>分</w:t>
      </w:r>
      <w:r>
        <w:t>（单项不低于7.0</w:t>
      </w:r>
      <w:r>
        <w:rPr>
          <w:rFonts w:hint="eastAsia"/>
        </w:rPr>
        <w:t>分</w:t>
      </w:r>
      <w:r>
        <w:t>）</w:t>
      </w:r>
      <w:r>
        <w:rPr>
          <w:rFonts w:hint="eastAsia"/>
        </w:rPr>
        <w:t>；其中，</w:t>
      </w:r>
      <w:r>
        <w:t>金融，经济，会计学、科研方法</w:t>
      </w:r>
      <w:r>
        <w:rPr>
          <w:rFonts w:hint="eastAsia"/>
        </w:rPr>
        <w:t>/数据科学类专业课，可适当放宽至</w:t>
      </w:r>
      <w:r>
        <w:t>托福93（单项不低于23）；雅思6.5（单项不低于6.5）；</w:t>
      </w:r>
    </w:p>
    <w:p>
      <w:pPr>
        <w:pStyle w:val="20"/>
        <w:numPr>
          <w:ilvl w:val="1"/>
          <w:numId w:val="4"/>
        </w:numPr>
        <w:spacing w:line="360" w:lineRule="auto"/>
        <w:ind w:left="420" w:leftChars="200" w:firstLineChars="0"/>
        <w:rPr>
          <w:rFonts w:asciiTheme="minorHAnsi" w:hAnsiTheme="minorHAnsi" w:eastAsiaTheme="majorEastAsia" w:cstheme="minorHAnsi"/>
          <w:szCs w:val="21"/>
        </w:rPr>
      </w:pPr>
      <w:r>
        <w:t>PTE</w:t>
      </w:r>
      <w:r>
        <w:rPr>
          <w:rFonts w:hint="eastAsia"/>
        </w:rPr>
        <w:t>（学术类） 65分（单项不低于65分）；</w:t>
      </w:r>
      <w:r>
        <w:t>C1 Advanced 185</w:t>
      </w:r>
      <w:r>
        <w:rPr>
          <w:rFonts w:hint="eastAsia"/>
        </w:rPr>
        <w:t xml:space="preserve">分 </w:t>
      </w:r>
      <w:r>
        <w:t>(</w:t>
      </w:r>
      <w:r>
        <w:rPr>
          <w:rFonts w:hint="eastAsia"/>
        </w:rPr>
        <w:t>单项不低于185</w:t>
      </w:r>
    </w:p>
    <w:p>
      <w:pPr>
        <w:pStyle w:val="20"/>
        <w:spacing w:line="360" w:lineRule="auto"/>
        <w:ind w:left="840" w:leftChars="400" w:firstLine="0"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/>
        </w:rPr>
        <w:t>分）；</w:t>
      </w:r>
      <w:r>
        <w:t xml:space="preserve"> C2 Proficiency</w:t>
      </w:r>
      <w:r>
        <w:rPr>
          <w:rFonts w:hint="eastAsia"/>
        </w:rPr>
        <w:t xml:space="preserve"> </w:t>
      </w:r>
      <w:r>
        <w:t>185</w:t>
      </w:r>
      <w:r>
        <w:rPr>
          <w:rFonts w:hint="eastAsia"/>
        </w:rPr>
        <w:t xml:space="preserve">分 </w:t>
      </w:r>
      <w:r>
        <w:t>(</w:t>
      </w:r>
      <w:r>
        <w:rPr>
          <w:rFonts w:hint="eastAsia"/>
        </w:rPr>
        <w:t>单项不低于185分）</w:t>
      </w:r>
    </w:p>
    <w:p>
      <w:pPr>
        <w:pStyle w:val="20"/>
        <w:numPr>
          <w:ilvl w:val="1"/>
          <w:numId w:val="5"/>
        </w:numPr>
        <w:spacing w:line="360" w:lineRule="auto"/>
        <w:ind w:left="420" w:leftChars="200"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szCs w:val="21"/>
        </w:rPr>
        <w:t>如果不具备托福或雅思成绩，还可通过以下方式参加项目：</w:t>
      </w:r>
    </w:p>
    <w:p>
      <w:pPr>
        <w:pStyle w:val="20"/>
        <w:numPr>
          <w:ilvl w:val="2"/>
          <w:numId w:val="5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大学英语四/六级500以上，可特别申请面试机会，通过即可直接参加；</w:t>
      </w:r>
    </w:p>
    <w:p>
      <w:pPr>
        <w:pStyle w:val="20"/>
        <w:numPr>
          <w:ilvl w:val="2"/>
          <w:numId w:val="5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/>
        </w:rPr>
        <w:t>大学英语四级470或六级4</w:t>
      </w:r>
      <w:r>
        <w:t>50</w:t>
      </w:r>
      <w:r>
        <w:rPr>
          <w:rFonts w:hint="eastAsia"/>
        </w:rPr>
        <w:t>, 或英语专业四级通过，需先读一周英语预备课</w:t>
      </w:r>
    </w:p>
    <w:p>
      <w:pPr>
        <w:pStyle w:val="20"/>
        <w:numPr>
          <w:ilvl w:val="2"/>
          <w:numId w:val="5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/>
        </w:rPr>
        <w:t>英语专业八级通过，可直接参加</w:t>
      </w:r>
    </w:p>
    <w:p>
      <w:pPr>
        <w:pStyle w:val="20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学术要求：GPA3.3 （相当于85）</w:t>
      </w:r>
    </w:p>
    <w:p>
      <w:pPr>
        <w:pStyle w:val="20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报名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方式</w:t>
      </w:r>
    </w:p>
    <w:p>
      <w:pPr>
        <w:pStyle w:val="2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登录全美国际教育协会网站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>填写《</w:t>
      </w:r>
      <w:r>
        <w:rPr>
          <w:rFonts w:hint="eastAsia" w:asciiTheme="minorHAnsi" w:hAnsiTheme="minorHAnsi" w:eastAsiaTheme="majorEastAsia" w:cstheme="minorHAnsi"/>
          <w:szCs w:val="21"/>
        </w:rPr>
        <w:t>世界</w:t>
      </w:r>
      <w:r>
        <w:rPr>
          <w:rFonts w:asciiTheme="minorHAnsi" w:hAnsiTheme="minorHAnsi" w:eastAsiaTheme="majorEastAsia" w:cstheme="minorHAnsi"/>
          <w:szCs w:val="21"/>
        </w:rPr>
        <w:t>名校访学项目报名表》</w:t>
      </w:r>
      <w:r>
        <w:rPr>
          <w:rFonts w:hint="eastAsia" w:asciiTheme="minorHAnsi" w:hAnsiTheme="minorHAnsi" w:eastAsiaTheme="majorEastAsia" w:cstheme="minorHAnsi"/>
          <w:szCs w:val="21"/>
        </w:rPr>
        <w:t>；</w:t>
      </w:r>
    </w:p>
    <w:p>
      <w:pPr>
        <w:pStyle w:val="2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建议截止日期：Session 1：3月20日；Session 2：4月10日；Session 3：4月25日</w:t>
      </w:r>
    </w:p>
    <w:p>
      <w:pPr>
        <w:widowControl/>
        <w:spacing w:line="360" w:lineRule="auto"/>
        <w:jc w:val="left"/>
        <w:rPr>
          <w:rFonts w:cs="宋体" w:asciiTheme="minorHAnsi" w:hAnsiTheme="minorHAnsi"/>
          <w:kern w:val="0"/>
          <w:szCs w:val="21"/>
        </w:rPr>
      </w:pPr>
      <w:r>
        <w:rPr>
          <w:rFonts w:hint="eastAsia" w:cs="宋体" w:asciiTheme="minorHAnsi" w:hAnsiTheme="minorHAnsi"/>
          <w:kern w:val="0"/>
          <w:szCs w:val="21"/>
        </w:rPr>
        <w:t>———————————————————————————————————————</w:t>
      </w:r>
    </w:p>
    <w:p>
      <w:pPr>
        <w:spacing w:line="360" w:lineRule="auto"/>
        <w:ind w:left="360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www.usiea.org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  <w:r>
        <w:rPr>
          <w:rFonts w:cs="Calibri" w:asciiTheme="minorHAnsi" w:hAnsiTheme="minorHAnsi"/>
          <w:kern w:val="0"/>
          <w:sz w:val="22"/>
        </w:rPr>
        <w:t xml:space="preserve"> 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项目邮箱咨询：</w:t>
      </w:r>
      <w:r>
        <w:fldChar w:fldCharType="begin"/>
      </w:r>
      <w:r>
        <w:instrText xml:space="preserve"> HYPERLINK "mailto:visitlse@yeah.net"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visit</w:t>
      </w:r>
      <w:r>
        <w:rPr>
          <w:rFonts w:hint="eastAsia" w:cs="Calibri" w:asciiTheme="minorHAnsi" w:hAnsiTheme="minorHAnsi"/>
          <w:color w:val="0068B7"/>
          <w:kern w:val="0"/>
          <w:sz w:val="22"/>
        </w:rPr>
        <w:t>lse</w:t>
      </w:r>
      <w:r>
        <w:rPr>
          <w:rFonts w:cs="Calibri" w:asciiTheme="minorHAnsi" w:hAnsiTheme="minorHAnsi"/>
          <w:color w:val="0068B7"/>
          <w:kern w:val="0"/>
          <w:sz w:val="22"/>
        </w:rPr>
        <w:t>@yeah.net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spacing w:line="0" w:lineRule="atLeast"/>
        <w:jc w:val="center"/>
        <w:rPr>
          <w:b/>
          <w:color w:val="1F497D"/>
          <w:sz w:val="36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-651510</wp:posOffset>
            </wp:positionV>
            <wp:extent cx="857885" cy="299720"/>
            <wp:effectExtent l="0" t="0" r="0" b="508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0" w:lineRule="atLeast"/>
        <w:jc w:val="center"/>
        <w:rPr>
          <w:b/>
          <w:color w:val="1F497D"/>
          <w:sz w:val="36"/>
        </w:rPr>
      </w:pPr>
    </w:p>
    <w:p>
      <w:pPr>
        <w:spacing w:line="0" w:lineRule="atLeast"/>
        <w:jc w:val="center"/>
        <w:rPr>
          <w:b/>
          <w:color w:val="1F497D"/>
          <w:sz w:val="36"/>
        </w:rPr>
      </w:pPr>
      <w:r>
        <w:rPr>
          <w:rFonts w:hint="eastAsia"/>
          <w:b/>
          <w:color w:val="1F497D"/>
          <w:sz w:val="36"/>
        </w:rPr>
        <w:t>附件：</w:t>
      </w:r>
      <w:r>
        <w:rPr>
          <w:b/>
          <w:color w:val="1F497D"/>
          <w:sz w:val="36"/>
        </w:rPr>
        <w:t>伦敦政治经济学院</w:t>
      </w:r>
    </w:p>
    <w:p>
      <w:pPr>
        <w:spacing w:line="0" w:lineRule="atLeast"/>
        <w:jc w:val="center"/>
        <w:rPr>
          <w:b/>
          <w:color w:val="1F497D"/>
          <w:sz w:val="36"/>
        </w:rPr>
      </w:pPr>
      <w:r>
        <w:rPr>
          <w:rFonts w:hint="eastAsia"/>
          <w:b/>
          <w:color w:val="1F497D"/>
          <w:sz w:val="36"/>
        </w:rPr>
        <w:t>2026</w:t>
      </w:r>
      <w:r>
        <w:rPr>
          <w:b/>
          <w:color w:val="1F497D"/>
          <w:sz w:val="36"/>
        </w:rPr>
        <w:t>暑期专业</w:t>
      </w:r>
      <w:r>
        <w:rPr>
          <w:rFonts w:hint="eastAsia"/>
          <w:b/>
          <w:color w:val="1F497D"/>
          <w:sz w:val="36"/>
        </w:rPr>
        <w:t>学习</w:t>
      </w:r>
      <w:r>
        <w:rPr>
          <w:b/>
          <w:color w:val="1F497D"/>
          <w:sz w:val="36"/>
        </w:rPr>
        <w:t>课程选课表</w:t>
      </w:r>
    </w:p>
    <w:p>
      <w:pPr>
        <w:spacing w:line="0" w:lineRule="atLeast"/>
        <w:jc w:val="center"/>
        <w:rPr>
          <w:bCs/>
          <w:color w:val="1F497D"/>
          <w:sz w:val="24"/>
        </w:rPr>
      </w:pPr>
      <w:r>
        <w:rPr>
          <w:rFonts w:hint="eastAsia"/>
          <w:bCs/>
          <w:color w:val="1F497D"/>
          <w:sz w:val="24"/>
        </w:rPr>
        <w:t>（仅供参考，以实际排课为准）</w:t>
      </w:r>
    </w:p>
    <w:p>
      <w:pPr>
        <w:rPr>
          <w:rFonts w:ascii="Calibri" w:hAnsi="Calibri" w:cs="Arial"/>
          <w:kern w:val="0"/>
          <w:sz w:val="22"/>
          <w:szCs w:val="22"/>
        </w:rPr>
      </w:pPr>
      <w:r>
        <w:rPr>
          <w:rFonts w:ascii="Calibri" w:hAnsi="Calibri" w:cs="Arial"/>
          <w:kern w:val="0"/>
          <w:sz w:val="22"/>
          <w:szCs w:val="22"/>
        </w:rPr>
        <w:br w:type="textWrapping"/>
      </w:r>
    </w:p>
    <w:p/>
    <w:p>
      <w:pPr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Accounting (会计学)</w:t>
      </w:r>
    </w:p>
    <w:p>
      <w:pPr>
        <w:rPr>
          <w:rFonts w:asciiTheme="minorHAnsi" w:hAnsiTheme="minorHAnsi" w:cstheme="minorHAnsi"/>
          <w:b/>
          <w:u w:val="single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AC110：会计</w:t>
            </w:r>
            <w:r>
              <w:rPr>
                <w:rFonts w:hint="eastAsia" w:asciiTheme="minorHAnsi" w:hAnsiTheme="minorHAnsi" w:cstheme="minorHAnsi"/>
              </w:rPr>
              <w:t>学</w:t>
            </w:r>
            <w:r>
              <w:rPr>
                <w:rFonts w:asciiTheme="minorHAnsi" w:hAnsiTheme="minorHAnsi" w:cstheme="minorHAnsi"/>
              </w:rPr>
              <w:t>原理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>C200</w:t>
            </w:r>
            <w:r>
              <w:rPr>
                <w:rFonts w:hint="eastAsia" w:asciiTheme="minorHAnsi" w:hAnsiTheme="minorHAnsi" w:cstheme="minorHAnsi"/>
              </w:rPr>
              <w:t>：</w:t>
            </w:r>
            <w:r>
              <w:rPr>
                <w:rFonts w:ascii="Arial" w:hAnsi="Arial" w:cs="Arial"/>
                <w:color w:val="333333"/>
                <w:szCs w:val="21"/>
                <w:shd w:val="clear" w:color="auto" w:fill="F9F9F9"/>
              </w:rPr>
              <w:t>可持续发展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9F9F9"/>
              </w:rPr>
              <w:t>报告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AC210：</w:t>
            </w:r>
            <w:r>
              <w:rPr>
                <w:rFonts w:hint="eastAsia" w:asciiTheme="minorHAnsi" w:hAnsiTheme="minorHAnsi" w:cstheme="minorHAnsi"/>
              </w:rPr>
              <w:t>投资银行与资产管理的</w:t>
            </w:r>
            <w:r>
              <w:rPr>
                <w:rFonts w:asciiTheme="minorHAnsi" w:hAnsiTheme="minorHAnsi" w:cstheme="minorHAnsi"/>
              </w:rPr>
              <w:t>财务报表</w:t>
            </w:r>
            <w:r>
              <w:rPr>
                <w:rFonts w:hint="eastAsia" w:asciiTheme="minorHAnsi" w:hAnsiTheme="minorHAnsi" w:cstheme="minorHAnsi"/>
              </w:rPr>
              <w:t>分析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AC101：管理会计与财务控制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AC215：</w:t>
            </w:r>
            <w:r>
              <w:rPr>
                <w:rFonts w:hint="eastAsia" w:asciiTheme="minorHAnsi" w:hAnsiTheme="minorHAnsi" w:cstheme="minorHAnsi"/>
              </w:rPr>
              <w:t>商业</w:t>
            </w:r>
            <w:r>
              <w:rPr>
                <w:rFonts w:asciiTheme="minorHAnsi" w:hAnsiTheme="minorHAnsi" w:cstheme="minorHAnsi"/>
              </w:rPr>
              <w:t>分析与</w:t>
            </w:r>
            <w:r>
              <w:rPr>
                <w:rFonts w:hint="eastAsia" w:asciiTheme="minorHAnsi" w:hAnsiTheme="minorHAnsi" w:cstheme="minorHAnsi"/>
              </w:rPr>
              <w:t>估值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AC110：会计</w:t>
            </w:r>
            <w:r>
              <w:rPr>
                <w:rFonts w:hint="eastAsia" w:asciiTheme="minorHAnsi" w:hAnsiTheme="minorHAnsi" w:cstheme="minorHAnsi"/>
              </w:rPr>
              <w:t>学</w:t>
            </w:r>
            <w:r>
              <w:rPr>
                <w:rFonts w:asciiTheme="minorHAnsi" w:hAnsiTheme="minorHAnsi" w:cstheme="minorHAnsi"/>
              </w:rPr>
              <w:t>原理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</w:t>
            </w:r>
            <w:r>
              <w:rPr>
                <w:rFonts w:hint="eastAsia" w:asciiTheme="minorHAnsi" w:hAnsiTheme="minorHAnsi" w:cstheme="minorHAnsi"/>
              </w:rPr>
              <w:t>202：公司欺诈与问责：原则与实践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AC210：</w:t>
            </w:r>
            <w:r>
              <w:rPr>
                <w:rFonts w:hint="eastAsia" w:asciiTheme="minorHAnsi" w:hAnsiTheme="minorHAnsi" w:cstheme="minorHAnsi"/>
              </w:rPr>
              <w:t>投资银行与资产管理的</w:t>
            </w:r>
            <w:r>
              <w:rPr>
                <w:rFonts w:asciiTheme="minorHAnsi" w:hAnsiTheme="minorHAnsi" w:cstheme="minorHAnsi"/>
              </w:rPr>
              <w:t>财务报表</w:t>
            </w:r>
            <w:r>
              <w:rPr>
                <w:rFonts w:hint="eastAsia" w:asciiTheme="minorHAnsi" w:hAnsiTheme="minorHAnsi" w:cstheme="minorHAnsi"/>
              </w:rPr>
              <w:t>分析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Business and Management (商科与管理)</w:t>
      </w:r>
    </w:p>
    <w:p>
      <w:pPr>
        <w:rPr>
          <w:rFonts w:asciiTheme="minorHAnsi" w:hAnsiTheme="minorHAnsi" w:cstheme="minorHAnsi"/>
          <w:b/>
          <w:sz w:val="24"/>
          <w:u w:val="single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MG101：营销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MG106：战略管理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</w:t>
            </w:r>
            <w:r>
              <w:rPr>
                <w:rFonts w:hint="eastAsia" w:asciiTheme="minorHAnsi" w:hAnsiTheme="minorHAnsi" w:cstheme="minorHAnsi"/>
              </w:rPr>
              <w:t>11</w:t>
            </w:r>
            <w:r>
              <w:rPr>
                <w:rFonts w:asciiTheme="minorHAnsi" w:hAnsiTheme="minorHAnsi" w:cstheme="minorHAnsi"/>
              </w:rPr>
              <w:t>：</w:t>
            </w:r>
            <w:r>
              <w:rPr>
                <w:rFonts w:hint="eastAsia" w:asciiTheme="minorHAnsi" w:hAnsiTheme="minorHAnsi" w:cstheme="minorHAnsi"/>
              </w:rPr>
              <w:t>商业人工智能：管理、战略和治理</w:t>
            </w:r>
          </w:p>
          <w:p>
            <w:pPr>
              <w:spacing w:line="200" w:lineRule="exact"/>
              <w:ind w:firstLine="840" w:firstLineChars="400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MG130：组织</w:t>
            </w:r>
            <w:r>
              <w:rPr>
                <w:rFonts w:hint="eastAsia" w:asciiTheme="minorHAnsi" w:hAnsiTheme="minorHAnsi" w:cstheme="minorHAnsi"/>
              </w:rPr>
              <w:t>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MG133：</w:t>
            </w:r>
            <w:r>
              <w:rPr>
                <w:rFonts w:hint="eastAsia" w:asciiTheme="minorHAnsi" w:hAnsiTheme="minorHAnsi" w:cstheme="minorHAnsi"/>
              </w:rPr>
              <w:t>组织的权力、地位与冲突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MG209：谈判与协商：利益、信息、战略与权力</w:t>
            </w: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MG103：消费者行为：营销和管理的行为基础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G107</w:t>
            </w:r>
            <w:r>
              <w:rPr>
                <w:rFonts w:hint="eastAsia" w:asciiTheme="minorHAnsi" w:hAnsiTheme="minorHAnsi" w:cstheme="minorHAnsi"/>
              </w:rPr>
              <w:t>：大数据时代的管理分析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MG110：决策的科学与艺术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</w:t>
            </w:r>
            <w:r>
              <w:rPr>
                <w:rFonts w:hint="eastAsia" w:asciiTheme="minorHAnsi" w:hAnsiTheme="minorHAnsi" w:cstheme="minorHAnsi"/>
              </w:rPr>
              <w:t>200</w:t>
            </w:r>
            <w:r>
              <w:rPr>
                <w:rFonts w:asciiTheme="minorHAnsi" w:hAnsiTheme="minorHAnsi" w:cstheme="minorHAnsi"/>
              </w:rPr>
              <w:t>：</w:t>
            </w:r>
            <w:r>
              <w:rPr>
                <w:rFonts w:hint="eastAsia" w:asciiTheme="minorHAnsi" w:hAnsiTheme="minorHAnsi" w:cstheme="minorHAnsi"/>
              </w:rPr>
              <w:t>管理组织变革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MG203：</w:t>
            </w:r>
            <w:r>
              <w:rPr>
                <w:rFonts w:hint="eastAsia" w:asciiTheme="minorHAnsi" w:hAnsiTheme="minorHAnsi" w:cstheme="minorHAnsi"/>
              </w:rPr>
              <w:t>产业政策</w:t>
            </w:r>
            <w:r>
              <w:rPr>
                <w:rFonts w:asciiTheme="minorHAnsi" w:hAnsiTheme="minorHAnsi" w:cstheme="minorHAnsi"/>
              </w:rPr>
              <w:t>：</w:t>
            </w:r>
            <w:r>
              <w:rPr>
                <w:rFonts w:hint="eastAsia" w:asciiTheme="minorHAnsi" w:hAnsiTheme="minorHAnsi" w:cstheme="minorHAnsi"/>
              </w:rPr>
              <w:t>引领绿色与数字化转型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MG204：组织领导力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MG206：国际和新兴市场的商业战略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MG250：</w:t>
            </w:r>
            <w:r>
              <w:rPr>
                <w:rFonts w:hint="eastAsia" w:asciiTheme="minorHAnsi" w:hAnsiTheme="minorHAnsi" w:cstheme="minorHAnsi"/>
              </w:rPr>
              <w:t>数字化创新</w:t>
            </w:r>
            <w:r>
              <w:rPr>
                <w:rFonts w:asciiTheme="minorHAnsi" w:hAnsiTheme="minorHAnsi" w:cstheme="minorHAnsi"/>
              </w:rPr>
              <w:t>管理与经济学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MG101：营销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MG106：战略管理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G</w:t>
            </w:r>
            <w:r>
              <w:rPr>
                <w:rFonts w:hint="eastAsia" w:asciiTheme="minorHAnsi" w:hAnsiTheme="minorHAnsi" w:cstheme="minorHAnsi"/>
              </w:rPr>
              <w:t>112：创业战略：企业设计与启动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MG114:</w:t>
            </w:r>
            <w:r>
              <w:rPr>
                <w:rFonts w:hint="eastAsia" w:asciiTheme="minorHAnsi" w:hAnsiTheme="minorHAnsi" w:cstheme="minorHAnsi"/>
              </w:rPr>
              <w:t xml:space="preserve"> 人力资源管理与未来工作：适应变化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G20</w:t>
            </w:r>
            <w:r>
              <w:rPr>
                <w:rFonts w:hint="eastAsia" w:asciiTheme="minorHAnsi" w:hAnsiTheme="minorHAnsi" w:cstheme="minorHAnsi"/>
              </w:rPr>
              <w:t>1：品牌战略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>
      <w:pPr>
        <w:rPr>
          <w:rFonts w:asciiTheme="minorHAnsi" w:hAnsiTheme="minorHAnsi" w:cstheme="minorHAnsi"/>
          <w:sz w:val="24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Economics (经济学)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EC101：</w:t>
            </w:r>
            <w:r>
              <w:rPr>
                <w:rFonts w:hint="eastAsia" w:asciiTheme="minorHAnsi" w:hAnsiTheme="minorHAnsi" w:cstheme="minorHAnsi"/>
              </w:rPr>
              <w:t>微</w:t>
            </w:r>
            <w:r>
              <w:rPr>
                <w:rFonts w:asciiTheme="minorHAnsi" w:hAnsiTheme="minorHAnsi" w:cstheme="minorHAnsi"/>
              </w:rPr>
              <w:t>观经济学</w:t>
            </w:r>
            <w:r>
              <w:rPr>
                <w:rFonts w:hint="eastAsia" w:asciiTheme="minorHAnsi" w:hAnsiTheme="minorHAnsi" w:cstheme="minorHAnsi"/>
              </w:rPr>
              <w:t>导论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EC201：中级微观经济学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EC203：房地产经济学与金融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EC204：金融市场与全球经济：泡沫、崩溃和通胀历史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EC235：欧洲一体化经济学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EC270：公共财政</w:t>
            </w:r>
            <w:r>
              <w:rPr>
                <w:rFonts w:hint="eastAsia" w:asciiTheme="minorHAnsi" w:hAnsiTheme="minorHAnsi" w:cstheme="minorHAnsi"/>
              </w:rPr>
              <w:t>：设计有效的政府政策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EC351：国际经济学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EC102：宏观经济学</w:t>
            </w:r>
            <w:r>
              <w:rPr>
                <w:rFonts w:hint="eastAsia" w:asciiTheme="minorHAnsi" w:hAnsiTheme="minorHAnsi" w:cstheme="minorHAnsi"/>
              </w:rPr>
              <w:t>导论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>C103</w:t>
            </w:r>
            <w:r>
              <w:rPr>
                <w:rFonts w:hint="eastAsia" w:asciiTheme="minorHAnsi" w:hAnsiTheme="minorHAnsi" w:cstheme="minorHAnsi"/>
              </w:rPr>
              <w:t>：不平等现象：经济学视角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EC200：行为经济学</w:t>
            </w:r>
            <w:r>
              <w:rPr>
                <w:rFonts w:hint="eastAsia" w:asciiTheme="minorHAnsi" w:hAnsiTheme="minorHAnsi" w:cstheme="minorHAnsi"/>
              </w:rPr>
              <w:t>导论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EC202：中级宏观经济学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EC240：环境经济学与可持续发展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EC260：公共政策的政治经济学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EC307：发展经济学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EC320：应用计量经济学和大数据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EC101:</w:t>
            </w:r>
            <w:r>
              <w:rPr>
                <w:rFonts w:hint="eastAsia" w:asciiTheme="minorHAnsi" w:hAnsiTheme="minorHAnsi" w:cstheme="minorHAnsi"/>
              </w:rPr>
              <w:t>微观经济学导论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EC104：福利国家（与贫困国家）：全球经济</w:t>
            </w:r>
            <w:r>
              <w:rPr>
                <w:rFonts w:hint="eastAsia" w:asciiTheme="minorHAnsi" w:hAnsiTheme="minorHAnsi" w:cstheme="minorHAnsi"/>
              </w:rPr>
              <w:t>发展的历史与现状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EC21</w:t>
            </w:r>
            <w:r>
              <w:rPr>
                <w:rFonts w:hint="eastAsia"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：</w:t>
            </w:r>
            <w:r>
              <w:rPr>
                <w:rFonts w:hint="eastAsia" w:asciiTheme="minorHAnsi" w:hAnsiTheme="minorHAnsi" w:cstheme="minorHAnsi"/>
              </w:rPr>
              <w:t>不平等与贫困分析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EC212：计量经济</w:t>
            </w:r>
            <w:r>
              <w:rPr>
                <w:rFonts w:hint="eastAsia" w:asciiTheme="minorHAnsi" w:hAnsiTheme="minorHAnsi" w:cstheme="minorHAnsi"/>
              </w:rPr>
              <w:t>学导论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EC312：高级计量经济学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>
      <w:pPr>
        <w:spacing w:line="200" w:lineRule="exact"/>
        <w:rPr>
          <w:rFonts w:asciiTheme="minorHAnsi" w:hAnsiTheme="minorHAnsi" w:cstheme="minorHAnsi"/>
          <w:b/>
          <w:u w:val="single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Finance (金融</w:t>
      </w:r>
      <w:r>
        <w:rPr>
          <w:rFonts w:hint="eastAsia" w:asciiTheme="minorHAnsi" w:hAnsiTheme="minorHAnsi" w:cstheme="minorHAnsi"/>
          <w:b/>
          <w:sz w:val="24"/>
          <w:u w:val="single"/>
        </w:rPr>
        <w:t>学</w:t>
      </w:r>
      <w:r>
        <w:rPr>
          <w:rFonts w:asciiTheme="minorHAnsi" w:hAnsiTheme="minorHAnsi" w:cstheme="minorHAnsi"/>
          <w:b/>
          <w:sz w:val="24"/>
          <w:u w:val="single"/>
        </w:rPr>
        <w:t>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F</w:t>
            </w:r>
            <w:r>
              <w:rPr>
                <w:rFonts w:asciiTheme="minorHAnsi" w:hAnsiTheme="minorHAnsi" w:cstheme="minorHAnsi"/>
              </w:rPr>
              <w:t>M200</w:t>
            </w:r>
            <w:r>
              <w:rPr>
                <w:rFonts w:hint="eastAsia" w:asciiTheme="minorHAnsi" w:hAnsiTheme="minorHAnsi" w:cstheme="minorHAnsi"/>
              </w:rPr>
              <w:t>：企业金融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FM201:</w:t>
            </w:r>
            <w:r>
              <w:rPr>
                <w:rFonts w:hint="eastAsia" w:asciiTheme="minorHAnsi" w:hAnsiTheme="minorHAnsi" w:cstheme="minorHAnsi"/>
              </w:rPr>
              <w:t xml:space="preserve"> 可持续金融与影响力投资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FM230：</w:t>
            </w:r>
            <w:r>
              <w:rPr>
                <w:rFonts w:hint="eastAsia" w:asciiTheme="minorHAnsi" w:hAnsiTheme="minorHAnsi" w:cstheme="minorHAnsi"/>
              </w:rPr>
              <w:t>另类</w:t>
            </w:r>
            <w:r>
              <w:rPr>
                <w:rFonts w:asciiTheme="minorHAnsi" w:hAnsiTheme="minorHAnsi" w:cstheme="minorHAnsi"/>
              </w:rPr>
              <w:t>投资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</w:rPr>
              <w:t>FM250：金融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FM202：金融风险分析与管理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FM225：固定收益证券、债券市场和宏观经济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</w:t>
            </w:r>
            <w:r>
              <w:rPr>
                <w:rFonts w:hint="eastAsia" w:asciiTheme="minorHAnsi" w:hAnsiTheme="minorHAnsi" w:cstheme="minorHAnsi"/>
              </w:rPr>
              <w:t>360: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hint="eastAsia" w:asciiTheme="minorHAnsi" w:hAnsiTheme="minorHAnsi" w:cstheme="minorHAnsi"/>
              </w:rPr>
              <w:t>期权、期货及其他金融衍生品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FM230：</w:t>
            </w:r>
            <w:r>
              <w:rPr>
                <w:rFonts w:hint="eastAsia" w:asciiTheme="minorHAnsi" w:hAnsiTheme="minorHAnsi" w:cstheme="minorHAnsi"/>
              </w:rPr>
              <w:t>另类</w:t>
            </w:r>
            <w:r>
              <w:rPr>
                <w:rFonts w:asciiTheme="minorHAnsi" w:hAnsiTheme="minorHAnsi" w:cstheme="minorHAnsi"/>
              </w:rPr>
              <w:t>投资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FM250：金融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</w:rPr>
              <w:t>FM350：高级公司</w:t>
            </w:r>
            <w:r>
              <w:rPr>
                <w:rFonts w:hint="eastAsia" w:asciiTheme="minorHAnsi" w:hAnsiTheme="minorHAnsi" w:cstheme="minorHAnsi"/>
              </w:rPr>
              <w:t>金融</w:t>
            </w:r>
          </w:p>
        </w:tc>
      </w:tr>
    </w:tbl>
    <w:p>
      <w:pPr>
        <w:rPr>
          <w:rFonts w:asciiTheme="minorHAnsi" w:hAnsiTheme="minorHAnsi" w:cstheme="minorHAnsi"/>
          <w:sz w:val="24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International Relations</w:t>
      </w:r>
      <w:r>
        <w:rPr>
          <w:rFonts w:hint="eastAsia" w:asciiTheme="minorHAnsi" w:hAnsiTheme="minorHAnsi" w:cstheme="minorHAnsi"/>
          <w:b/>
          <w:sz w:val="24"/>
          <w:u w:val="single"/>
        </w:rPr>
        <w:t>, Government, Psychology and Society</w:t>
      </w:r>
      <w:r>
        <w:rPr>
          <w:rFonts w:asciiTheme="minorHAnsi" w:hAnsiTheme="minorHAnsi" w:cstheme="minorHAnsi"/>
          <w:b/>
          <w:sz w:val="24"/>
          <w:u w:val="single"/>
        </w:rPr>
        <w:t xml:space="preserve"> (国际关系</w:t>
      </w:r>
      <w:r>
        <w:rPr>
          <w:rFonts w:hint="eastAsia" w:asciiTheme="minorHAnsi" w:hAnsiTheme="minorHAnsi" w:cstheme="minorHAnsi"/>
          <w:b/>
          <w:sz w:val="24"/>
          <w:u w:val="single"/>
        </w:rPr>
        <w:t>, 政府，心理学与社会</w:t>
      </w:r>
      <w:r>
        <w:rPr>
          <w:rFonts w:asciiTheme="minorHAnsi" w:hAnsiTheme="minorHAnsi" w:cstheme="minorHAnsi"/>
          <w:b/>
          <w:sz w:val="24"/>
          <w:u w:val="single"/>
        </w:rPr>
        <w:t>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IR110：心理学基础 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IR11</w:t>
            </w:r>
            <w:r>
              <w:rPr>
                <w:rFonts w:hint="eastAsia" w:asciiTheme="minorHAnsi" w:hAnsiTheme="minorHAnsi" w:cstheme="minorHAnsi"/>
              </w:rPr>
              <w:t>2：性别、文化与政策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</w:t>
            </w:r>
            <w:r>
              <w:rPr>
                <w:rFonts w:hint="eastAsia" w:asciiTheme="minorHAnsi" w:hAnsiTheme="minorHAnsi" w:cstheme="minorHAnsi"/>
              </w:rPr>
              <w:t>14</w:t>
            </w:r>
            <w:r>
              <w:rPr>
                <w:rFonts w:asciiTheme="minorHAnsi" w:hAnsiTheme="minorHAnsi" w:cstheme="minorHAnsi"/>
              </w:rPr>
              <w:t>：</w:t>
            </w:r>
            <w:r>
              <w:rPr>
                <w:rFonts w:hint="eastAsia" w:asciiTheme="minorHAnsi" w:hAnsiTheme="minorHAnsi" w:cstheme="minorHAnsi"/>
              </w:rPr>
              <w:t>如何理解当代社会中的权力、不平等与身份认同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IR115：文化与全球化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</w:t>
            </w:r>
            <w:r>
              <w:rPr>
                <w:rFonts w:hint="eastAsia" w:asciiTheme="minorHAnsi" w:hAnsiTheme="minorHAnsi" w:cstheme="minorHAnsi"/>
              </w:rPr>
              <w:t>17</w:t>
            </w:r>
            <w:r>
              <w:rPr>
                <w:rFonts w:asciiTheme="minorHAnsi" w:hAnsiTheme="minorHAnsi" w:cstheme="minorHAnsi"/>
              </w:rPr>
              <w:t>：</w:t>
            </w:r>
            <w:r>
              <w:rPr>
                <w:rFonts w:hint="eastAsia" w:asciiTheme="minorHAnsi" w:hAnsiTheme="minorHAnsi" w:cstheme="minorHAnsi"/>
              </w:rPr>
              <w:t>民主的未来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IR130：</w:t>
            </w:r>
            <w:r>
              <w:rPr>
                <w:rFonts w:hint="eastAsia" w:asciiTheme="minorHAnsi" w:hAnsiTheme="minorHAnsi" w:cstheme="minorHAnsi"/>
              </w:rPr>
              <w:t>战争、权力与道义</w:t>
            </w:r>
            <w:r>
              <w:rPr>
                <w:rFonts w:asciiTheme="minorHAnsi" w:hAnsiTheme="minorHAnsi" w:cstheme="minorHAnsi"/>
              </w:rPr>
              <w:t>：政治理论和国际政治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IR204：国际移民、社会融合和公共政策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IR209：国际政治经济</w:t>
            </w:r>
            <w:r>
              <w:rPr>
                <w:rFonts w:hint="eastAsia" w:asciiTheme="minorHAnsi" w:hAnsiTheme="minorHAnsi" w:cstheme="minorHAnsi"/>
              </w:rPr>
              <w:t>学：21世纪的国家与市场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IR211：美国</w:t>
            </w:r>
            <w:r>
              <w:rPr>
                <w:rFonts w:hint="eastAsia" w:asciiTheme="minorHAnsi" w:hAnsiTheme="minorHAnsi" w:cstheme="minorHAnsi"/>
              </w:rPr>
              <w:t>作为全球大国</w:t>
            </w:r>
            <w:r>
              <w:rPr>
                <w:rFonts w:asciiTheme="minorHAnsi" w:hAnsiTheme="minorHAnsi" w:cstheme="minorHAnsi"/>
              </w:rPr>
              <w:t>：从罗斯福到</w:t>
            </w:r>
            <w:r>
              <w:rPr>
                <w:rFonts w:hint="eastAsia" w:asciiTheme="minorHAnsi" w:hAnsiTheme="minorHAnsi" w:cstheme="minorHAnsi"/>
              </w:rPr>
              <w:t>拜登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IR245：国际新闻与社会——媒体在现代世界中的作用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IR100：伟大的思想家和</w:t>
            </w:r>
            <w:r>
              <w:rPr>
                <w:rFonts w:hint="eastAsia" w:asciiTheme="minorHAnsi" w:hAnsiTheme="minorHAnsi" w:cstheme="minorHAnsi"/>
              </w:rPr>
              <w:t>领导者</w:t>
            </w:r>
            <w:r>
              <w:rPr>
                <w:rFonts w:asciiTheme="minorHAnsi" w:hAnsiTheme="minorHAnsi" w:cstheme="minorHAnsi"/>
              </w:rPr>
              <w:t>：塑造全球秩序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IR102：资本主义、民主与</w:t>
            </w:r>
            <w:r>
              <w:rPr>
                <w:rFonts w:hint="eastAsia" w:asciiTheme="minorHAnsi" w:hAnsiTheme="minorHAnsi" w:cstheme="minorHAnsi"/>
              </w:rPr>
              <w:t>不</w:t>
            </w:r>
            <w:r>
              <w:rPr>
                <w:rFonts w:asciiTheme="minorHAnsi" w:hAnsiTheme="minorHAnsi" w:cstheme="minorHAnsi"/>
              </w:rPr>
              <w:t>平等：</w:t>
            </w:r>
            <w:r>
              <w:rPr>
                <w:rFonts w:hint="eastAsia" w:asciiTheme="minorHAnsi" w:hAnsiTheme="minorHAnsi" w:cstheme="minorHAnsi"/>
              </w:rPr>
              <w:t>比较</w:t>
            </w:r>
            <w:r>
              <w:rPr>
                <w:rFonts w:asciiTheme="minorHAnsi" w:hAnsiTheme="minorHAnsi" w:cstheme="minorHAnsi"/>
              </w:rPr>
              <w:t>政治经济</w:t>
            </w:r>
            <w:r>
              <w:rPr>
                <w:rFonts w:hint="eastAsia" w:asciiTheme="minorHAnsi" w:hAnsiTheme="minorHAnsi" w:cstheme="minorHAnsi"/>
              </w:rPr>
              <w:t>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IR105：</w:t>
            </w:r>
            <w:r>
              <w:rPr>
                <w:rFonts w:hint="eastAsia" w:asciiTheme="minorHAnsi" w:hAnsiTheme="minorHAnsi" w:cstheme="minorHAnsi"/>
              </w:rPr>
              <w:t>理</w:t>
            </w:r>
            <w:r>
              <w:rPr>
                <w:rFonts w:asciiTheme="minorHAnsi" w:hAnsiTheme="minorHAnsi" w:cstheme="minorHAnsi"/>
              </w:rPr>
              <w:t>解外交政策：战争、利益和</w:t>
            </w:r>
            <w:r>
              <w:rPr>
                <w:rFonts w:hint="eastAsia" w:asciiTheme="minorHAnsi" w:hAnsiTheme="minorHAnsi" w:cstheme="minorHAnsi"/>
              </w:rPr>
              <w:t>正义</w:t>
            </w:r>
            <w:r>
              <w:rPr>
                <w:rFonts w:asciiTheme="minorHAnsi" w:hAnsiTheme="minorHAnsi" w:cstheme="minorHAnsi"/>
              </w:rPr>
              <w:t>的外交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IR11</w:t>
            </w:r>
            <w:r>
              <w:rPr>
                <w:rFonts w:hint="eastAsia" w:asciiTheme="minorHAnsi" w:hAnsiTheme="minorHAnsi" w:cstheme="minorHAnsi"/>
              </w:rPr>
              <w:t>6</w:t>
            </w:r>
            <w:r>
              <w:rPr>
                <w:rFonts w:asciiTheme="minorHAnsi" w:hAnsiTheme="minorHAnsi" w:cstheme="minorHAnsi"/>
              </w:rPr>
              <w:t>：</w:t>
            </w:r>
            <w:r>
              <w:rPr>
                <w:rFonts w:hint="eastAsia" w:asciiTheme="minorHAnsi" w:hAnsiTheme="minorHAnsi" w:cstheme="minorHAnsi"/>
              </w:rPr>
              <w:t>食物、文化与身份认同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IR140：</w:t>
            </w:r>
            <w:r>
              <w:rPr>
                <w:rFonts w:hint="eastAsia" w:asciiTheme="minorHAnsi" w:hAnsiTheme="minorHAnsi" w:cstheme="minorHAnsi"/>
              </w:rPr>
              <w:t>危机时代的传媒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</w:t>
            </w:r>
            <w:r>
              <w:rPr>
                <w:rFonts w:hint="eastAsia" w:asciiTheme="minorHAnsi" w:hAnsiTheme="minorHAnsi" w:cstheme="minorHAnsi"/>
              </w:rPr>
              <w:t>6</w:t>
            </w:r>
            <w:r>
              <w:rPr>
                <w:rFonts w:asciiTheme="minorHAnsi" w:hAnsiTheme="minorHAnsi" w:cstheme="minorHAnsi"/>
              </w:rPr>
              <w:t>0：</w:t>
            </w:r>
            <w:r>
              <w:rPr>
                <w:rFonts w:hint="eastAsia" w:asciiTheme="minorHAnsi" w:hAnsiTheme="minorHAnsi" w:cstheme="minorHAnsi"/>
              </w:rPr>
              <w:t>当代中东地区的冲突与权力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IR201：权力转移：西方的衰落、</w:t>
            </w:r>
            <w:r>
              <w:rPr>
                <w:rFonts w:hint="eastAsia" w:asciiTheme="minorHAnsi" w:hAnsiTheme="minorHAnsi" w:cstheme="minorHAnsi"/>
              </w:rPr>
              <w:t>以及自由国际秩序的危机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>R</w:t>
            </w:r>
            <w:r>
              <w:rPr>
                <w:rFonts w:hint="eastAsia" w:asciiTheme="minorHAnsi" w:hAnsiTheme="minorHAnsi" w:cstheme="minorHAnsi"/>
              </w:rPr>
              <w:t>218：不断变化的全球健康与发展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>R22</w:t>
            </w:r>
            <w:r>
              <w:rPr>
                <w:rFonts w:hint="eastAsia" w:asciiTheme="minorHAnsi" w:hAnsiTheme="minorHAnsi" w:cstheme="minorHAnsi"/>
              </w:rPr>
              <w:t>3：历代女权运动：从第一次浪潮到 #</w:t>
            </w:r>
            <w:r>
              <w:rPr>
                <w:rFonts w:asciiTheme="minorHAnsi" w:hAnsiTheme="minorHAnsi" w:cstheme="minorHAnsi"/>
              </w:rPr>
              <w:t>M</w:t>
            </w:r>
            <w:r>
              <w:rPr>
                <w:rFonts w:hint="eastAsia"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>T</w:t>
            </w:r>
            <w:r>
              <w:rPr>
                <w:rFonts w:hint="eastAsia" w:asciiTheme="minorHAnsi" w:hAnsiTheme="minorHAnsi" w:cstheme="minorHAnsi"/>
              </w:rPr>
              <w:t>oo运动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>R22</w:t>
            </w:r>
            <w:r>
              <w:rPr>
                <w:rFonts w:hint="eastAsia" w:asciiTheme="minorHAnsi" w:hAnsiTheme="minorHAnsi" w:cstheme="minorHAnsi"/>
              </w:rPr>
              <w:t>4：幸福感与政策关系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</w:t>
            </w:r>
            <w:r>
              <w:rPr>
                <w:rFonts w:hint="eastAsia" w:asciiTheme="minorHAnsi" w:hAnsiTheme="minorHAnsi" w:cstheme="minorHAnsi"/>
              </w:rPr>
              <w:t>226: 应用外交：战略、影响力和谈判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IR227</w:t>
            </w:r>
            <w:r>
              <w:rPr>
                <w:rFonts w:hint="eastAsia" w:asciiTheme="minorHAnsi" w:hAnsiTheme="minorHAnsi" w:cstheme="minorHAnsi"/>
              </w:rPr>
              <w:t>：变革政治：社会转型治理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</w:t>
            </w:r>
            <w:r>
              <w:rPr>
                <w:rFonts w:hint="eastAsia" w:asciiTheme="minorHAnsi" w:hAnsiTheme="minorHAnsi" w:cstheme="minorHAnsi"/>
              </w:rPr>
              <w:t>04</w:t>
            </w:r>
            <w:r>
              <w:rPr>
                <w:rFonts w:asciiTheme="minorHAnsi" w:hAnsiTheme="minorHAnsi" w:cstheme="minorHAnsi"/>
              </w:rPr>
              <w:t>：</w:t>
            </w:r>
            <w:r>
              <w:rPr>
                <w:rFonts w:hint="eastAsia" w:asciiTheme="minorHAnsi" w:hAnsiTheme="minorHAnsi" w:cstheme="minorHAnsi"/>
              </w:rPr>
              <w:t>环境与社会：科学</w:t>
            </w:r>
            <w:r>
              <w:rPr>
                <w:rFonts w:asciiTheme="minorHAnsi" w:hAnsiTheme="minorHAnsi" w:cstheme="minorHAnsi"/>
              </w:rPr>
              <w:t>、</w:t>
            </w:r>
            <w:r>
              <w:rPr>
                <w:rFonts w:hint="eastAsia" w:asciiTheme="minorHAnsi" w:hAnsiTheme="minorHAnsi" w:cstheme="minorHAnsi"/>
              </w:rPr>
              <w:t>政策与行动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IR120：贸易、发展和环境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IR207：国际政治经济</w:t>
            </w:r>
            <w:r>
              <w:rPr>
                <w:rFonts w:hint="eastAsia" w:asciiTheme="minorHAnsi" w:hAnsiTheme="minorHAnsi" w:cstheme="minorHAnsi"/>
              </w:rPr>
              <w:t>学的</w:t>
            </w:r>
            <w:r>
              <w:rPr>
                <w:rFonts w:asciiTheme="minorHAnsi" w:hAnsiTheme="minorHAnsi" w:cstheme="minorHAnsi"/>
              </w:rPr>
              <w:t>发展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IR214：公共政策分析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 xml:space="preserve">R222: </w:t>
            </w:r>
            <w:r>
              <w:rPr>
                <w:rFonts w:hint="eastAsia" w:asciiTheme="minorHAnsi" w:hAnsiTheme="minorHAnsi" w:cstheme="minorHAnsi"/>
              </w:rPr>
              <w:t>从网络战争到杀手机器人：新兴技术与国际安全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>R22</w:t>
            </w:r>
            <w:r>
              <w:rPr>
                <w:rFonts w:hint="eastAsia" w:asciiTheme="minorHAnsi" w:hAnsiTheme="minorHAnsi" w:cstheme="minorHAnsi"/>
              </w:rPr>
              <w:t>5：了解中国的崛起：全球与当地视角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</w:tc>
      </w:tr>
    </w:tbl>
    <w:p>
      <w:pPr>
        <w:rPr>
          <w:rFonts w:asciiTheme="minorHAnsi" w:hAnsiTheme="minorHAnsi" w:cstheme="minorHAnsi"/>
          <w:kern w:val="0"/>
          <w:szCs w:val="20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Law (法律)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LL102：国际人权</w:t>
            </w:r>
            <w:r>
              <w:rPr>
                <w:rFonts w:hint="eastAsia" w:asciiTheme="minorHAnsi" w:hAnsiTheme="minorHAnsi" w:cstheme="minorHAnsi"/>
              </w:rPr>
              <w:t>概</w:t>
            </w:r>
            <w:r>
              <w:rPr>
                <w:rFonts w:asciiTheme="minorHAnsi" w:hAnsiTheme="minorHAnsi" w:cstheme="minorHAnsi"/>
              </w:rPr>
              <w:t>论：理论、法律和实践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LL135：公司法与</w:t>
            </w:r>
            <w:r>
              <w:rPr>
                <w:rFonts w:hint="eastAsia" w:asciiTheme="minorHAnsi" w:hAnsiTheme="minorHAnsi" w:cstheme="minorHAnsi"/>
              </w:rPr>
              <w:t>公司</w:t>
            </w:r>
            <w:r>
              <w:rPr>
                <w:rFonts w:asciiTheme="minorHAnsi" w:hAnsiTheme="minorHAnsi" w:cstheme="minorHAnsi"/>
              </w:rPr>
              <w:t>治理概论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LL202：商法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LL206：</w:t>
            </w:r>
            <w:r>
              <w:rPr>
                <w:rFonts w:hint="eastAsia" w:asciiTheme="minorHAnsi" w:hAnsiTheme="minorHAnsi" w:cstheme="minorHAnsi"/>
              </w:rPr>
              <w:t>金融监管导论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LL209：</w:t>
            </w:r>
            <w:r>
              <w:rPr>
                <w:rFonts w:hint="eastAsia" w:asciiTheme="minorHAnsi" w:hAnsiTheme="minorHAnsi" w:cstheme="minorHAnsi"/>
              </w:rPr>
              <w:t>法律、社会与道德：当代法庭争议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L</w:t>
            </w:r>
            <w:r>
              <w:rPr>
                <w:rFonts w:asciiTheme="minorHAnsi" w:hAnsiTheme="minorHAnsi" w:cstheme="minorHAnsi"/>
              </w:rPr>
              <w:t>L215</w:t>
            </w:r>
            <w:r>
              <w:rPr>
                <w:rFonts w:hint="eastAsia" w:asciiTheme="minorHAnsi" w:hAnsiTheme="minorHAnsi" w:cstheme="minorHAnsi"/>
              </w:rPr>
              <w:t>：执法、犯罪与刑法领域的新前沿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LL105: 国际法：当代问题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L</w:t>
            </w:r>
            <w:r>
              <w:rPr>
                <w:rFonts w:asciiTheme="minorHAnsi" w:hAnsiTheme="minorHAnsi" w:cstheme="minorHAnsi"/>
              </w:rPr>
              <w:t>L201</w:t>
            </w:r>
            <w:r>
              <w:rPr>
                <w:rFonts w:hint="eastAsia" w:asciiTheme="minorHAnsi" w:hAnsiTheme="minorHAnsi" w:cstheme="minorHAnsi"/>
              </w:rPr>
              <w:t>：知识产权法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LL203: 国际商</w:t>
            </w:r>
            <w:r>
              <w:rPr>
                <w:rFonts w:hint="eastAsia" w:asciiTheme="minorHAnsi" w:hAnsiTheme="minorHAnsi" w:cstheme="minorHAnsi"/>
              </w:rPr>
              <w:t>业</w:t>
            </w:r>
            <w:r>
              <w:rPr>
                <w:rFonts w:asciiTheme="minorHAnsi" w:hAnsiTheme="minorHAnsi" w:cstheme="minorHAnsi"/>
              </w:rPr>
              <w:t>诉讼与仲裁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LL204: </w:t>
            </w:r>
            <w:r>
              <w:rPr>
                <w:rFonts w:hint="eastAsia" w:asciiTheme="minorHAnsi" w:hAnsiTheme="minorHAnsi" w:cstheme="minorHAnsi"/>
              </w:rPr>
              <w:t>人工智能法律法规基础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L</w:t>
            </w:r>
            <w:r>
              <w:rPr>
                <w:rFonts w:asciiTheme="minorHAnsi" w:hAnsiTheme="minorHAnsi" w:cstheme="minorHAnsi"/>
              </w:rPr>
              <w:t>L300</w:t>
            </w:r>
            <w:r>
              <w:rPr>
                <w:rFonts w:hint="eastAsia" w:asciiTheme="minorHAnsi" w:hAnsiTheme="minorHAnsi" w:cstheme="minorHAnsi"/>
              </w:rPr>
              <w:t>：高级谈判和调解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L</w:t>
            </w:r>
            <w:r>
              <w:rPr>
                <w:rFonts w:asciiTheme="minorHAnsi" w:hAnsiTheme="minorHAnsi" w:cstheme="minorHAnsi"/>
              </w:rPr>
              <w:t>L</w:t>
            </w:r>
            <w:r>
              <w:rPr>
                <w:rFonts w:hint="eastAsia" w:asciiTheme="minorHAnsi" w:hAnsiTheme="minorHAnsi" w:cstheme="minorHAnsi"/>
              </w:rPr>
              <w:t>100：欧盟法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LL110：税收、司法和社会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LL200：竞争法与</w:t>
            </w:r>
            <w:r>
              <w:rPr>
                <w:rFonts w:hint="eastAsia" w:asciiTheme="minorHAnsi" w:hAnsiTheme="minorHAnsi" w:cstheme="minorHAnsi"/>
              </w:rPr>
              <w:t>竞争</w:t>
            </w:r>
            <w:r>
              <w:rPr>
                <w:rFonts w:asciiTheme="minorHAnsi" w:hAnsiTheme="minorHAnsi" w:cstheme="minorHAnsi"/>
              </w:rPr>
              <w:t>政策：</w:t>
            </w:r>
            <w:r>
              <w:rPr>
                <w:rFonts w:hint="eastAsia" w:asciiTheme="minorHAnsi" w:hAnsiTheme="minorHAnsi" w:cstheme="minorHAnsi"/>
              </w:rPr>
              <w:t>当代全球市场的挑战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L</w:t>
            </w:r>
            <w:r>
              <w:rPr>
                <w:rFonts w:asciiTheme="minorHAnsi" w:hAnsiTheme="minorHAnsi" w:cstheme="minorHAnsi"/>
              </w:rPr>
              <w:t>L214</w:t>
            </w:r>
            <w:r>
              <w:rPr>
                <w:rFonts w:hint="eastAsia" w:asciiTheme="minorHAnsi" w:hAnsiTheme="minorHAnsi" w:cstheme="minorHAnsi"/>
              </w:rPr>
              <w:t>：应用A</w:t>
            </w:r>
            <w:r>
              <w:rPr>
                <w:rFonts w:asciiTheme="minorHAnsi" w:hAnsiTheme="minorHAnsi" w:cstheme="minorHAnsi"/>
              </w:rPr>
              <w:t>I</w:t>
            </w:r>
            <w:r>
              <w:rPr>
                <w:rFonts w:hint="eastAsia" w:asciiTheme="minorHAnsi" w:hAnsiTheme="minorHAnsi" w:cstheme="minorHAnsi"/>
              </w:rPr>
              <w:t>与法律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LL301：公司</w:t>
            </w:r>
            <w:r>
              <w:rPr>
                <w:rFonts w:hint="eastAsia" w:asciiTheme="minorHAnsi" w:hAnsiTheme="minorHAnsi" w:cstheme="minorHAnsi"/>
              </w:rPr>
              <w:t>财务</w:t>
            </w:r>
            <w:r>
              <w:rPr>
                <w:rFonts w:asciiTheme="minorHAnsi" w:hAnsiTheme="minorHAnsi" w:cstheme="minorHAnsi"/>
              </w:rPr>
              <w:t>法</w:t>
            </w:r>
          </w:p>
        </w:tc>
      </w:tr>
    </w:tbl>
    <w:p>
      <w:pPr>
        <w:rPr>
          <w:rFonts w:asciiTheme="minorHAnsi" w:hAnsiTheme="minorHAnsi" w:cstheme="minorHAnsi"/>
          <w:sz w:val="24"/>
        </w:rPr>
      </w:pPr>
    </w:p>
    <w:p>
      <w:pPr>
        <w:rPr>
          <w:rFonts w:asciiTheme="minorHAnsi" w:hAnsiTheme="minorHAnsi" w:cstheme="minorHAnsi"/>
          <w:b/>
          <w:sz w:val="24"/>
          <w:u w:val="single"/>
        </w:rPr>
      </w:pPr>
      <w:r>
        <w:rPr>
          <w:rFonts w:asciiTheme="minorHAnsi" w:hAnsiTheme="minorHAnsi" w:cstheme="minorHAnsi"/>
          <w:b/>
          <w:sz w:val="24"/>
          <w:u w:val="single"/>
        </w:rPr>
        <w:t>Research Methods</w:t>
      </w:r>
      <w:r>
        <w:rPr>
          <w:rFonts w:hint="eastAsia" w:asciiTheme="minorHAnsi" w:hAnsiTheme="minorHAnsi" w:cstheme="minorHAnsi"/>
          <w:b/>
          <w:sz w:val="24"/>
          <w:u w:val="single"/>
        </w:rPr>
        <w:t>,</w:t>
      </w:r>
      <w:r>
        <w:rPr>
          <w:rFonts w:asciiTheme="minorHAnsi" w:hAnsiTheme="minorHAnsi" w:cstheme="minorHAnsi"/>
          <w:b/>
          <w:sz w:val="24"/>
          <w:u w:val="single"/>
        </w:rPr>
        <w:t xml:space="preserve"> Data Science and Mathematics (</w:t>
      </w:r>
      <w:r>
        <w:rPr>
          <w:rFonts w:hint="eastAsia" w:asciiTheme="minorHAnsi" w:hAnsiTheme="minorHAnsi" w:cstheme="minorHAnsi"/>
          <w:b/>
          <w:sz w:val="24"/>
          <w:u w:val="single"/>
        </w:rPr>
        <w:t>科</w:t>
      </w:r>
      <w:r>
        <w:rPr>
          <w:rFonts w:asciiTheme="minorHAnsi" w:hAnsiTheme="minorHAnsi" w:cstheme="minorHAnsi"/>
          <w:b/>
          <w:sz w:val="24"/>
          <w:u w:val="single"/>
        </w:rPr>
        <w:t>研方法</w:t>
      </w:r>
      <w:r>
        <w:rPr>
          <w:rFonts w:hint="eastAsia" w:asciiTheme="minorHAnsi" w:hAnsiTheme="minorHAnsi" w:cstheme="minorHAnsi"/>
          <w:b/>
          <w:sz w:val="24"/>
          <w:u w:val="single"/>
        </w:rPr>
        <w:t>，数据科学与数学</w:t>
      </w:r>
      <w:r>
        <w:rPr>
          <w:rFonts w:asciiTheme="minorHAnsi" w:hAnsiTheme="minorHAnsi" w:cstheme="minorHAnsi"/>
          <w:b/>
          <w:sz w:val="24"/>
          <w:u w:val="single"/>
        </w:rPr>
        <w:t>)</w:t>
      </w:r>
    </w:p>
    <w:p>
      <w:pPr>
        <w:spacing w:line="200" w:lineRule="exact"/>
        <w:rPr>
          <w:rFonts w:asciiTheme="minorHAnsi" w:hAnsiTheme="minorHAnsi" w:cstheme="minorHAns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第一期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第二期</w:t>
            </w:r>
          </w:p>
        </w:tc>
        <w:tc>
          <w:tcPr>
            <w:tcW w:w="3012" w:type="dxa"/>
          </w:tcPr>
          <w:p>
            <w:pPr>
              <w:spacing w:line="200" w:lineRule="exac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第三期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ME102：</w:t>
            </w:r>
            <w:r>
              <w:rPr>
                <w:rFonts w:hint="eastAsia" w:asciiTheme="minorHAnsi" w:hAnsiTheme="minorHAnsi" w:cstheme="minorHAnsi"/>
              </w:rPr>
              <w:t>人工智能时代的数据伦理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ME116：</w:t>
            </w:r>
            <w:r>
              <w:rPr>
                <w:rFonts w:hint="eastAsia" w:asciiTheme="minorHAnsi" w:hAnsiTheme="minorHAnsi" w:cstheme="minorHAnsi"/>
              </w:rPr>
              <w:t>统计学概论：透过数据了解世界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ME200：金融数学的计算方法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ME315：机器学习实践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E</w:t>
            </w:r>
            <w:r>
              <w:rPr>
                <w:rFonts w:hint="eastAsia" w:asciiTheme="minorHAnsi" w:hAnsiTheme="minorHAnsi" w:cstheme="minorHAnsi"/>
              </w:rPr>
              <w:t>117：经济学与计量经济学的概率与统计学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E204</w:t>
            </w:r>
            <w:r>
              <w:rPr>
                <w:rFonts w:hint="eastAsia" w:asciiTheme="minorHAnsi" w:hAnsiTheme="minorHAnsi" w:cstheme="minorHAnsi"/>
              </w:rPr>
              <w:t>：社交世界的数据工程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ME306：真实分析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ME314：数据科学与机器学习</w:t>
            </w:r>
            <w:r>
              <w:rPr>
                <w:rFonts w:hint="eastAsia" w:asciiTheme="minorHAnsi" w:hAnsiTheme="minorHAnsi" w:cstheme="minorHAnsi"/>
              </w:rPr>
              <w:t>入门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E317</w:t>
            </w:r>
            <w:r>
              <w:rPr>
                <w:rFonts w:hint="eastAsia" w:asciiTheme="minorHAnsi" w:hAnsiTheme="minorHAnsi" w:cstheme="minorHAnsi"/>
              </w:rPr>
              <w:t>：风险管理的统计方法</w:t>
            </w:r>
          </w:p>
        </w:tc>
        <w:tc>
          <w:tcPr>
            <w:tcW w:w="3012" w:type="dxa"/>
          </w:tcPr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E</w:t>
            </w:r>
            <w:r>
              <w:rPr>
                <w:rFonts w:hint="eastAsia" w:asciiTheme="minorHAnsi" w:hAnsiTheme="minorHAnsi" w:cstheme="minorHAnsi"/>
              </w:rPr>
              <w:t>206:运用博弈论掌握战略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hint="eastAsia"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E31</w:t>
            </w:r>
            <w:r>
              <w:rPr>
                <w:rFonts w:hint="eastAsia" w:asciiTheme="minorHAnsi" w:hAnsiTheme="minorHAnsi" w:cstheme="minorHAnsi"/>
              </w:rPr>
              <w:t xml:space="preserve">9：机器学习与随机模拟：在金融、风险管理及保险领域的应用 </w:t>
            </w: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>
            <w:pPr>
              <w:spacing w:line="200" w:lineRule="exac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ME324</w:t>
            </w:r>
            <w:r>
              <w:rPr>
                <w:rFonts w:hint="eastAsia" w:asciiTheme="minorHAnsi" w:hAnsiTheme="minorHAnsi" w:cstheme="minorHAnsi"/>
              </w:rPr>
              <w:t>：人工智能与深度学习</w:t>
            </w:r>
          </w:p>
        </w:tc>
      </w:tr>
    </w:tbl>
    <w:p>
      <w:pPr>
        <w:spacing w:line="200" w:lineRule="exact"/>
        <w:rPr>
          <w:rFonts w:asciiTheme="minorHAnsi" w:hAnsiTheme="minorHAnsi" w:cstheme="minorHAnsi"/>
          <w:kern w:val="0"/>
          <w:szCs w:val="20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default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Ci6pUg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default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4F1874"/>
    <w:multiLevelType w:val="multilevel"/>
    <w:tmpl w:val="1D4F187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2F9224FD"/>
    <w:multiLevelType w:val="multilevel"/>
    <w:tmpl w:val="2F9224FD"/>
    <w:lvl w:ilvl="0" w:tentative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entative="0">
      <w:start w:val="3"/>
      <w:numFmt w:val="bullet"/>
      <w:lvlText w:val="-"/>
      <w:lvlJc w:val="left"/>
      <w:pPr>
        <w:ind w:left="1070" w:hanging="440"/>
      </w:pPr>
      <w:rPr>
        <w:rFonts w:hint="default" w:ascii="Calibri" w:hAnsi="Calibri" w:eastAsia="宋体" w:cs="Calibri"/>
      </w:rPr>
    </w:lvl>
    <w:lvl w:ilvl="2" w:tentative="0">
      <w:start w:val="0"/>
      <w:numFmt w:val="bullet"/>
      <w:lvlText w:val="•"/>
      <w:lvlJc w:val="left"/>
      <w:pPr>
        <w:ind w:left="1490" w:hanging="440"/>
      </w:pPr>
      <w:rPr>
        <w:rFonts w:hint="default" w:ascii="Arial Narrow" w:hAnsi="Arial Narrow" w:eastAsia="Times New Roman" w:cs="Times New Roman"/>
      </w:r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49241C2D"/>
    <w:multiLevelType w:val="multilevel"/>
    <w:tmpl w:val="49241C2D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B36ACD"/>
    <w:multiLevelType w:val="multilevel"/>
    <w:tmpl w:val="61B36ACD"/>
    <w:lvl w:ilvl="0" w:tentative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entative="0">
      <w:start w:val="3"/>
      <w:numFmt w:val="bullet"/>
      <w:lvlText w:val="-"/>
      <w:lvlJc w:val="left"/>
      <w:pPr>
        <w:ind w:left="1050" w:hanging="420"/>
      </w:pPr>
      <w:rPr>
        <w:rFonts w:hint="default" w:ascii="Calibri" w:hAnsi="Calibri" w:cs="Calibri" w:eastAsiaTheme="majorEastAsia"/>
      </w:r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6D50662A"/>
    <w:multiLevelType w:val="multilevel"/>
    <w:tmpl w:val="6D50662A"/>
    <w:lvl w:ilvl="0" w:tentative="0">
      <w:start w:val="1"/>
      <w:numFmt w:val="decimal"/>
      <w:lvlText w:val="%1)"/>
      <w:lvlJc w:val="left"/>
      <w:pPr>
        <w:ind w:left="630" w:hanging="420"/>
      </w:p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5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3F3F"/>
    <w:rsid w:val="00005020"/>
    <w:rsid w:val="00006712"/>
    <w:rsid w:val="000077A9"/>
    <w:rsid w:val="00010F31"/>
    <w:rsid w:val="000169DD"/>
    <w:rsid w:val="0001734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562C"/>
    <w:rsid w:val="000362BD"/>
    <w:rsid w:val="0003777C"/>
    <w:rsid w:val="00037C2F"/>
    <w:rsid w:val="00040016"/>
    <w:rsid w:val="000402B0"/>
    <w:rsid w:val="00041148"/>
    <w:rsid w:val="00041BDA"/>
    <w:rsid w:val="00044B87"/>
    <w:rsid w:val="00046229"/>
    <w:rsid w:val="000519A2"/>
    <w:rsid w:val="00051A3D"/>
    <w:rsid w:val="00053749"/>
    <w:rsid w:val="0005389A"/>
    <w:rsid w:val="00060047"/>
    <w:rsid w:val="0006181E"/>
    <w:rsid w:val="00065242"/>
    <w:rsid w:val="00066BB4"/>
    <w:rsid w:val="00066CD0"/>
    <w:rsid w:val="00072B90"/>
    <w:rsid w:val="0007336E"/>
    <w:rsid w:val="0008167D"/>
    <w:rsid w:val="000820F9"/>
    <w:rsid w:val="000840CC"/>
    <w:rsid w:val="000869EA"/>
    <w:rsid w:val="00091C7E"/>
    <w:rsid w:val="0009206E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C2F7C"/>
    <w:rsid w:val="000C3F5B"/>
    <w:rsid w:val="000C4E56"/>
    <w:rsid w:val="000C5C18"/>
    <w:rsid w:val="000C7F9A"/>
    <w:rsid w:val="000D4BC5"/>
    <w:rsid w:val="000D5021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5E78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4011"/>
    <w:rsid w:val="00135F93"/>
    <w:rsid w:val="001370FA"/>
    <w:rsid w:val="00137744"/>
    <w:rsid w:val="00143294"/>
    <w:rsid w:val="00146AB9"/>
    <w:rsid w:val="00150193"/>
    <w:rsid w:val="001535A1"/>
    <w:rsid w:val="00155FCC"/>
    <w:rsid w:val="00160616"/>
    <w:rsid w:val="001621FC"/>
    <w:rsid w:val="001653D5"/>
    <w:rsid w:val="00167799"/>
    <w:rsid w:val="00170451"/>
    <w:rsid w:val="0017244A"/>
    <w:rsid w:val="001738F0"/>
    <w:rsid w:val="00173AC0"/>
    <w:rsid w:val="00176F21"/>
    <w:rsid w:val="0018033F"/>
    <w:rsid w:val="00180AB5"/>
    <w:rsid w:val="00182AE1"/>
    <w:rsid w:val="00182E04"/>
    <w:rsid w:val="001834A2"/>
    <w:rsid w:val="0018354F"/>
    <w:rsid w:val="00185175"/>
    <w:rsid w:val="00186190"/>
    <w:rsid w:val="00190118"/>
    <w:rsid w:val="00192C0F"/>
    <w:rsid w:val="0019459B"/>
    <w:rsid w:val="001A0C7A"/>
    <w:rsid w:val="001A281F"/>
    <w:rsid w:val="001A4366"/>
    <w:rsid w:val="001A7D56"/>
    <w:rsid w:val="001B1730"/>
    <w:rsid w:val="001B1E96"/>
    <w:rsid w:val="001C1A51"/>
    <w:rsid w:val="001C6985"/>
    <w:rsid w:val="001D01C6"/>
    <w:rsid w:val="001D3619"/>
    <w:rsid w:val="001D4042"/>
    <w:rsid w:val="001D458C"/>
    <w:rsid w:val="001D4EF4"/>
    <w:rsid w:val="001D5D4C"/>
    <w:rsid w:val="001E31D7"/>
    <w:rsid w:val="001E4E86"/>
    <w:rsid w:val="001E5D98"/>
    <w:rsid w:val="001F1FCF"/>
    <w:rsid w:val="001F3C41"/>
    <w:rsid w:val="001F5524"/>
    <w:rsid w:val="001F67D2"/>
    <w:rsid w:val="00201963"/>
    <w:rsid w:val="00202030"/>
    <w:rsid w:val="00203BFF"/>
    <w:rsid w:val="00205F7F"/>
    <w:rsid w:val="002133F2"/>
    <w:rsid w:val="0021711E"/>
    <w:rsid w:val="002202A8"/>
    <w:rsid w:val="00220AE0"/>
    <w:rsid w:val="00220E2D"/>
    <w:rsid w:val="002211FB"/>
    <w:rsid w:val="0022214B"/>
    <w:rsid w:val="002274D9"/>
    <w:rsid w:val="00231FEE"/>
    <w:rsid w:val="00233816"/>
    <w:rsid w:val="00234DA6"/>
    <w:rsid w:val="0023684E"/>
    <w:rsid w:val="00240E4E"/>
    <w:rsid w:val="002441C6"/>
    <w:rsid w:val="002449A1"/>
    <w:rsid w:val="00251642"/>
    <w:rsid w:val="00254207"/>
    <w:rsid w:val="002549A2"/>
    <w:rsid w:val="00255140"/>
    <w:rsid w:val="00261406"/>
    <w:rsid w:val="00261C11"/>
    <w:rsid w:val="00265018"/>
    <w:rsid w:val="00266D3D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326"/>
    <w:rsid w:val="00295361"/>
    <w:rsid w:val="002954BF"/>
    <w:rsid w:val="00296088"/>
    <w:rsid w:val="00296348"/>
    <w:rsid w:val="00297E1A"/>
    <w:rsid w:val="002A32D9"/>
    <w:rsid w:val="002A3386"/>
    <w:rsid w:val="002A402F"/>
    <w:rsid w:val="002B5E23"/>
    <w:rsid w:val="002B61DD"/>
    <w:rsid w:val="002B68EB"/>
    <w:rsid w:val="002B7076"/>
    <w:rsid w:val="002B7158"/>
    <w:rsid w:val="002C2028"/>
    <w:rsid w:val="002C229B"/>
    <w:rsid w:val="002C27D4"/>
    <w:rsid w:val="002C3134"/>
    <w:rsid w:val="002C612F"/>
    <w:rsid w:val="002C6AEB"/>
    <w:rsid w:val="002C722D"/>
    <w:rsid w:val="002C7507"/>
    <w:rsid w:val="002D04D0"/>
    <w:rsid w:val="002D0DAC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AB9"/>
    <w:rsid w:val="003013CE"/>
    <w:rsid w:val="0030157A"/>
    <w:rsid w:val="00302995"/>
    <w:rsid w:val="00303D3D"/>
    <w:rsid w:val="003047BA"/>
    <w:rsid w:val="00313A58"/>
    <w:rsid w:val="0031712B"/>
    <w:rsid w:val="0032092A"/>
    <w:rsid w:val="00321528"/>
    <w:rsid w:val="00321717"/>
    <w:rsid w:val="00321D5F"/>
    <w:rsid w:val="0032313B"/>
    <w:rsid w:val="003306BC"/>
    <w:rsid w:val="00330EF0"/>
    <w:rsid w:val="00333C15"/>
    <w:rsid w:val="00334EC1"/>
    <w:rsid w:val="00342D9D"/>
    <w:rsid w:val="00342E7E"/>
    <w:rsid w:val="00347191"/>
    <w:rsid w:val="0035066E"/>
    <w:rsid w:val="003508E4"/>
    <w:rsid w:val="003518A8"/>
    <w:rsid w:val="00352A1D"/>
    <w:rsid w:val="00353816"/>
    <w:rsid w:val="00355979"/>
    <w:rsid w:val="003574A4"/>
    <w:rsid w:val="00361CCF"/>
    <w:rsid w:val="00362815"/>
    <w:rsid w:val="00364A0C"/>
    <w:rsid w:val="003738EA"/>
    <w:rsid w:val="00375491"/>
    <w:rsid w:val="00381E2C"/>
    <w:rsid w:val="003822A8"/>
    <w:rsid w:val="00382435"/>
    <w:rsid w:val="00383DCC"/>
    <w:rsid w:val="00386A4E"/>
    <w:rsid w:val="00386C51"/>
    <w:rsid w:val="00387362"/>
    <w:rsid w:val="00390C9A"/>
    <w:rsid w:val="00390FCA"/>
    <w:rsid w:val="00392AE2"/>
    <w:rsid w:val="00394758"/>
    <w:rsid w:val="00394A95"/>
    <w:rsid w:val="00396306"/>
    <w:rsid w:val="00397742"/>
    <w:rsid w:val="003A0E36"/>
    <w:rsid w:val="003A6BB9"/>
    <w:rsid w:val="003B1281"/>
    <w:rsid w:val="003B4151"/>
    <w:rsid w:val="003B669C"/>
    <w:rsid w:val="003B786E"/>
    <w:rsid w:val="003C27A2"/>
    <w:rsid w:val="003C30F6"/>
    <w:rsid w:val="003C6EF7"/>
    <w:rsid w:val="003D0F7B"/>
    <w:rsid w:val="003D0FE9"/>
    <w:rsid w:val="003D13F7"/>
    <w:rsid w:val="003D2BCE"/>
    <w:rsid w:val="003D4037"/>
    <w:rsid w:val="003D4529"/>
    <w:rsid w:val="003D4B46"/>
    <w:rsid w:val="003D52F3"/>
    <w:rsid w:val="003D5531"/>
    <w:rsid w:val="003D5F48"/>
    <w:rsid w:val="003D7B86"/>
    <w:rsid w:val="003E01B3"/>
    <w:rsid w:val="003E3199"/>
    <w:rsid w:val="003E3788"/>
    <w:rsid w:val="003E7DA0"/>
    <w:rsid w:val="003F050A"/>
    <w:rsid w:val="003F059B"/>
    <w:rsid w:val="003F16A0"/>
    <w:rsid w:val="003F50D1"/>
    <w:rsid w:val="003F5D96"/>
    <w:rsid w:val="003F5F88"/>
    <w:rsid w:val="00402B49"/>
    <w:rsid w:val="00404265"/>
    <w:rsid w:val="004069E9"/>
    <w:rsid w:val="00407D1F"/>
    <w:rsid w:val="0041117C"/>
    <w:rsid w:val="0041273F"/>
    <w:rsid w:val="0042204E"/>
    <w:rsid w:val="00426325"/>
    <w:rsid w:val="00430B91"/>
    <w:rsid w:val="004330A9"/>
    <w:rsid w:val="00437A33"/>
    <w:rsid w:val="00440C9F"/>
    <w:rsid w:val="00443C5D"/>
    <w:rsid w:val="004469A3"/>
    <w:rsid w:val="0045270B"/>
    <w:rsid w:val="00454C45"/>
    <w:rsid w:val="00455152"/>
    <w:rsid w:val="0046135F"/>
    <w:rsid w:val="00461EE8"/>
    <w:rsid w:val="004624BE"/>
    <w:rsid w:val="00464F1E"/>
    <w:rsid w:val="00465A92"/>
    <w:rsid w:val="004679CE"/>
    <w:rsid w:val="00467FC8"/>
    <w:rsid w:val="00470270"/>
    <w:rsid w:val="00471CBF"/>
    <w:rsid w:val="00472046"/>
    <w:rsid w:val="00480534"/>
    <w:rsid w:val="00481A67"/>
    <w:rsid w:val="004839D0"/>
    <w:rsid w:val="00485AD1"/>
    <w:rsid w:val="00486AA5"/>
    <w:rsid w:val="004932B6"/>
    <w:rsid w:val="004946E0"/>
    <w:rsid w:val="00495E6D"/>
    <w:rsid w:val="004A1602"/>
    <w:rsid w:val="004A51A8"/>
    <w:rsid w:val="004A5B8D"/>
    <w:rsid w:val="004A6F7A"/>
    <w:rsid w:val="004B49EE"/>
    <w:rsid w:val="004B4D89"/>
    <w:rsid w:val="004B516E"/>
    <w:rsid w:val="004C0E26"/>
    <w:rsid w:val="004C15F5"/>
    <w:rsid w:val="004C343D"/>
    <w:rsid w:val="004C5277"/>
    <w:rsid w:val="004C6632"/>
    <w:rsid w:val="004D2423"/>
    <w:rsid w:val="004D3884"/>
    <w:rsid w:val="004D5BBA"/>
    <w:rsid w:val="004D5D38"/>
    <w:rsid w:val="004E0748"/>
    <w:rsid w:val="004E728E"/>
    <w:rsid w:val="004E786F"/>
    <w:rsid w:val="004F0AAB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11B9"/>
    <w:rsid w:val="005326B5"/>
    <w:rsid w:val="005339BB"/>
    <w:rsid w:val="005340C3"/>
    <w:rsid w:val="00536F45"/>
    <w:rsid w:val="00537EE6"/>
    <w:rsid w:val="005427BD"/>
    <w:rsid w:val="005447E3"/>
    <w:rsid w:val="00547E75"/>
    <w:rsid w:val="00552CC6"/>
    <w:rsid w:val="00554115"/>
    <w:rsid w:val="00554D5C"/>
    <w:rsid w:val="00555016"/>
    <w:rsid w:val="00555043"/>
    <w:rsid w:val="005559B9"/>
    <w:rsid w:val="00556212"/>
    <w:rsid w:val="005606AC"/>
    <w:rsid w:val="005628E9"/>
    <w:rsid w:val="00563622"/>
    <w:rsid w:val="005643D6"/>
    <w:rsid w:val="0057138A"/>
    <w:rsid w:val="00571797"/>
    <w:rsid w:val="00572B6E"/>
    <w:rsid w:val="005730D7"/>
    <w:rsid w:val="005762B0"/>
    <w:rsid w:val="00584716"/>
    <w:rsid w:val="005849E3"/>
    <w:rsid w:val="00584E4F"/>
    <w:rsid w:val="00584E6C"/>
    <w:rsid w:val="005868F6"/>
    <w:rsid w:val="00586D6C"/>
    <w:rsid w:val="00587D18"/>
    <w:rsid w:val="00593AC3"/>
    <w:rsid w:val="00596D1A"/>
    <w:rsid w:val="005A06E8"/>
    <w:rsid w:val="005A0A5F"/>
    <w:rsid w:val="005A31F5"/>
    <w:rsid w:val="005A6502"/>
    <w:rsid w:val="005A65C8"/>
    <w:rsid w:val="005B5140"/>
    <w:rsid w:val="005B69C2"/>
    <w:rsid w:val="005C27A1"/>
    <w:rsid w:val="005C28B5"/>
    <w:rsid w:val="005C4BF2"/>
    <w:rsid w:val="005C67D4"/>
    <w:rsid w:val="005C7CC0"/>
    <w:rsid w:val="005D0683"/>
    <w:rsid w:val="005D474E"/>
    <w:rsid w:val="005D6E6D"/>
    <w:rsid w:val="005D6F09"/>
    <w:rsid w:val="005E09FF"/>
    <w:rsid w:val="005E5A41"/>
    <w:rsid w:val="005E674A"/>
    <w:rsid w:val="005E6E17"/>
    <w:rsid w:val="005F0AD3"/>
    <w:rsid w:val="005F15D4"/>
    <w:rsid w:val="005F6112"/>
    <w:rsid w:val="006001D3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8DF"/>
    <w:rsid w:val="00624BB2"/>
    <w:rsid w:val="00632329"/>
    <w:rsid w:val="00633DAD"/>
    <w:rsid w:val="00636A3C"/>
    <w:rsid w:val="00637AD1"/>
    <w:rsid w:val="006415DA"/>
    <w:rsid w:val="006452B3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0FF7"/>
    <w:rsid w:val="00681291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6080"/>
    <w:rsid w:val="006A72B8"/>
    <w:rsid w:val="006A7C06"/>
    <w:rsid w:val="006B28F7"/>
    <w:rsid w:val="006B2E55"/>
    <w:rsid w:val="006B3EDE"/>
    <w:rsid w:val="006B576E"/>
    <w:rsid w:val="006B7C51"/>
    <w:rsid w:val="006B7C8E"/>
    <w:rsid w:val="006C1F05"/>
    <w:rsid w:val="006C2070"/>
    <w:rsid w:val="006C4514"/>
    <w:rsid w:val="006D5B15"/>
    <w:rsid w:val="006D642C"/>
    <w:rsid w:val="006F038D"/>
    <w:rsid w:val="006F43A0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204A1"/>
    <w:rsid w:val="00720659"/>
    <w:rsid w:val="0072201D"/>
    <w:rsid w:val="00726857"/>
    <w:rsid w:val="00726D8F"/>
    <w:rsid w:val="00727B01"/>
    <w:rsid w:val="007328BD"/>
    <w:rsid w:val="00733292"/>
    <w:rsid w:val="00734D73"/>
    <w:rsid w:val="00735A0C"/>
    <w:rsid w:val="00736663"/>
    <w:rsid w:val="00740DD5"/>
    <w:rsid w:val="007423FD"/>
    <w:rsid w:val="00743412"/>
    <w:rsid w:val="00760C7A"/>
    <w:rsid w:val="007619AD"/>
    <w:rsid w:val="00762330"/>
    <w:rsid w:val="007640E0"/>
    <w:rsid w:val="007652B1"/>
    <w:rsid w:val="00767A55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377B"/>
    <w:rsid w:val="00783B2F"/>
    <w:rsid w:val="00785C31"/>
    <w:rsid w:val="00795004"/>
    <w:rsid w:val="00796C00"/>
    <w:rsid w:val="007977EE"/>
    <w:rsid w:val="007A01B4"/>
    <w:rsid w:val="007A03BE"/>
    <w:rsid w:val="007A07E5"/>
    <w:rsid w:val="007A2996"/>
    <w:rsid w:val="007A385D"/>
    <w:rsid w:val="007A3E79"/>
    <w:rsid w:val="007A7362"/>
    <w:rsid w:val="007B436B"/>
    <w:rsid w:val="007B5A17"/>
    <w:rsid w:val="007B7729"/>
    <w:rsid w:val="007B7D1E"/>
    <w:rsid w:val="007C0C68"/>
    <w:rsid w:val="007C2153"/>
    <w:rsid w:val="007C3257"/>
    <w:rsid w:val="007C348F"/>
    <w:rsid w:val="007C5BAC"/>
    <w:rsid w:val="007C66DE"/>
    <w:rsid w:val="007D0768"/>
    <w:rsid w:val="007D224F"/>
    <w:rsid w:val="007D2FE4"/>
    <w:rsid w:val="007D62F3"/>
    <w:rsid w:val="007D67D4"/>
    <w:rsid w:val="007E0C8A"/>
    <w:rsid w:val="007E26F2"/>
    <w:rsid w:val="007E2951"/>
    <w:rsid w:val="007E32E8"/>
    <w:rsid w:val="007E3816"/>
    <w:rsid w:val="007E3ADE"/>
    <w:rsid w:val="007F04ED"/>
    <w:rsid w:val="007F16D8"/>
    <w:rsid w:val="007F342D"/>
    <w:rsid w:val="007F5700"/>
    <w:rsid w:val="0080057F"/>
    <w:rsid w:val="00802548"/>
    <w:rsid w:val="00802877"/>
    <w:rsid w:val="00802957"/>
    <w:rsid w:val="00814AA6"/>
    <w:rsid w:val="008153A8"/>
    <w:rsid w:val="00821496"/>
    <w:rsid w:val="00821DC7"/>
    <w:rsid w:val="00822EED"/>
    <w:rsid w:val="00826507"/>
    <w:rsid w:val="008267EE"/>
    <w:rsid w:val="0083050D"/>
    <w:rsid w:val="00831C27"/>
    <w:rsid w:val="00832E9B"/>
    <w:rsid w:val="00837952"/>
    <w:rsid w:val="008432ED"/>
    <w:rsid w:val="00843F7D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67355"/>
    <w:rsid w:val="00870D6A"/>
    <w:rsid w:val="0087133B"/>
    <w:rsid w:val="00872523"/>
    <w:rsid w:val="008733D7"/>
    <w:rsid w:val="008775A8"/>
    <w:rsid w:val="0088020B"/>
    <w:rsid w:val="0088113C"/>
    <w:rsid w:val="00881CA9"/>
    <w:rsid w:val="00883ADB"/>
    <w:rsid w:val="0088500C"/>
    <w:rsid w:val="00887346"/>
    <w:rsid w:val="0089014A"/>
    <w:rsid w:val="008902CF"/>
    <w:rsid w:val="0089434F"/>
    <w:rsid w:val="00894757"/>
    <w:rsid w:val="008966E9"/>
    <w:rsid w:val="00897824"/>
    <w:rsid w:val="008B4949"/>
    <w:rsid w:val="008B4A3B"/>
    <w:rsid w:val="008B56E5"/>
    <w:rsid w:val="008B7215"/>
    <w:rsid w:val="008B79D1"/>
    <w:rsid w:val="008B7F03"/>
    <w:rsid w:val="008C1F77"/>
    <w:rsid w:val="008D3CFE"/>
    <w:rsid w:val="008D55B7"/>
    <w:rsid w:val="008D5E6C"/>
    <w:rsid w:val="008D5FF3"/>
    <w:rsid w:val="008D7F16"/>
    <w:rsid w:val="008E2F80"/>
    <w:rsid w:val="008E4534"/>
    <w:rsid w:val="008E54DB"/>
    <w:rsid w:val="008F1045"/>
    <w:rsid w:val="008F1FD1"/>
    <w:rsid w:val="008F6298"/>
    <w:rsid w:val="009018E4"/>
    <w:rsid w:val="00903AB5"/>
    <w:rsid w:val="00903BED"/>
    <w:rsid w:val="00905613"/>
    <w:rsid w:val="00905BF1"/>
    <w:rsid w:val="00905DE5"/>
    <w:rsid w:val="00907193"/>
    <w:rsid w:val="00907BE2"/>
    <w:rsid w:val="00913572"/>
    <w:rsid w:val="009171E7"/>
    <w:rsid w:val="00917A3B"/>
    <w:rsid w:val="0092087F"/>
    <w:rsid w:val="00920936"/>
    <w:rsid w:val="00922281"/>
    <w:rsid w:val="0092377F"/>
    <w:rsid w:val="0092711C"/>
    <w:rsid w:val="00930DF7"/>
    <w:rsid w:val="00936821"/>
    <w:rsid w:val="009409B4"/>
    <w:rsid w:val="00940A3E"/>
    <w:rsid w:val="0094120B"/>
    <w:rsid w:val="0094276A"/>
    <w:rsid w:val="00942B0B"/>
    <w:rsid w:val="00942C75"/>
    <w:rsid w:val="009501C8"/>
    <w:rsid w:val="00951195"/>
    <w:rsid w:val="00952045"/>
    <w:rsid w:val="00952679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824FC"/>
    <w:rsid w:val="009827BB"/>
    <w:rsid w:val="00983752"/>
    <w:rsid w:val="00983EF6"/>
    <w:rsid w:val="00986371"/>
    <w:rsid w:val="00987363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9B5"/>
    <w:rsid w:val="009B0D73"/>
    <w:rsid w:val="009B3167"/>
    <w:rsid w:val="009B7CCB"/>
    <w:rsid w:val="009C020C"/>
    <w:rsid w:val="009C25A0"/>
    <w:rsid w:val="009C44ED"/>
    <w:rsid w:val="009C5D67"/>
    <w:rsid w:val="009C698C"/>
    <w:rsid w:val="009C7A2D"/>
    <w:rsid w:val="009C7CE4"/>
    <w:rsid w:val="009D5A30"/>
    <w:rsid w:val="009E18AF"/>
    <w:rsid w:val="009E4A3B"/>
    <w:rsid w:val="009E5D88"/>
    <w:rsid w:val="009F0653"/>
    <w:rsid w:val="009F1FC1"/>
    <w:rsid w:val="009F7FCB"/>
    <w:rsid w:val="00A00B17"/>
    <w:rsid w:val="00A05A8F"/>
    <w:rsid w:val="00A07695"/>
    <w:rsid w:val="00A07DCE"/>
    <w:rsid w:val="00A1042E"/>
    <w:rsid w:val="00A10667"/>
    <w:rsid w:val="00A14608"/>
    <w:rsid w:val="00A1794D"/>
    <w:rsid w:val="00A207E1"/>
    <w:rsid w:val="00A220C6"/>
    <w:rsid w:val="00A2225A"/>
    <w:rsid w:val="00A222E5"/>
    <w:rsid w:val="00A2358C"/>
    <w:rsid w:val="00A23C33"/>
    <w:rsid w:val="00A2663A"/>
    <w:rsid w:val="00A31C85"/>
    <w:rsid w:val="00A32B62"/>
    <w:rsid w:val="00A32C2E"/>
    <w:rsid w:val="00A33A9E"/>
    <w:rsid w:val="00A344D7"/>
    <w:rsid w:val="00A37EE0"/>
    <w:rsid w:val="00A50BF4"/>
    <w:rsid w:val="00A568B0"/>
    <w:rsid w:val="00A57829"/>
    <w:rsid w:val="00A60310"/>
    <w:rsid w:val="00A60B43"/>
    <w:rsid w:val="00A623DF"/>
    <w:rsid w:val="00A67B5E"/>
    <w:rsid w:val="00A72E16"/>
    <w:rsid w:val="00A74A10"/>
    <w:rsid w:val="00A76003"/>
    <w:rsid w:val="00A76D78"/>
    <w:rsid w:val="00A83140"/>
    <w:rsid w:val="00A843DA"/>
    <w:rsid w:val="00A84830"/>
    <w:rsid w:val="00A878D6"/>
    <w:rsid w:val="00A9241D"/>
    <w:rsid w:val="00A92D51"/>
    <w:rsid w:val="00AA1738"/>
    <w:rsid w:val="00AA2334"/>
    <w:rsid w:val="00AA4DC4"/>
    <w:rsid w:val="00AB05C6"/>
    <w:rsid w:val="00AB4238"/>
    <w:rsid w:val="00AB66D7"/>
    <w:rsid w:val="00AB694F"/>
    <w:rsid w:val="00AC05F0"/>
    <w:rsid w:val="00AC32C6"/>
    <w:rsid w:val="00AD37E5"/>
    <w:rsid w:val="00AD3CFD"/>
    <w:rsid w:val="00AD7BA1"/>
    <w:rsid w:val="00AE32F1"/>
    <w:rsid w:val="00AE5279"/>
    <w:rsid w:val="00AF1520"/>
    <w:rsid w:val="00AF3264"/>
    <w:rsid w:val="00AF5247"/>
    <w:rsid w:val="00AF78C6"/>
    <w:rsid w:val="00AF7CB4"/>
    <w:rsid w:val="00B00961"/>
    <w:rsid w:val="00B01ADE"/>
    <w:rsid w:val="00B01F4F"/>
    <w:rsid w:val="00B043AC"/>
    <w:rsid w:val="00B107E5"/>
    <w:rsid w:val="00B11E35"/>
    <w:rsid w:val="00B12237"/>
    <w:rsid w:val="00B12F3C"/>
    <w:rsid w:val="00B22841"/>
    <w:rsid w:val="00B24FF7"/>
    <w:rsid w:val="00B2543C"/>
    <w:rsid w:val="00B26192"/>
    <w:rsid w:val="00B262CD"/>
    <w:rsid w:val="00B26994"/>
    <w:rsid w:val="00B40A66"/>
    <w:rsid w:val="00B44FDB"/>
    <w:rsid w:val="00B50CF4"/>
    <w:rsid w:val="00B55BC5"/>
    <w:rsid w:val="00B57B39"/>
    <w:rsid w:val="00B60E9C"/>
    <w:rsid w:val="00B618B7"/>
    <w:rsid w:val="00B6632A"/>
    <w:rsid w:val="00B67C18"/>
    <w:rsid w:val="00B74F9C"/>
    <w:rsid w:val="00B76A1E"/>
    <w:rsid w:val="00B801E0"/>
    <w:rsid w:val="00B8044E"/>
    <w:rsid w:val="00B83422"/>
    <w:rsid w:val="00B841C1"/>
    <w:rsid w:val="00B86083"/>
    <w:rsid w:val="00B8765A"/>
    <w:rsid w:val="00B9240D"/>
    <w:rsid w:val="00B955B3"/>
    <w:rsid w:val="00BA15F6"/>
    <w:rsid w:val="00BA5348"/>
    <w:rsid w:val="00BB0CAA"/>
    <w:rsid w:val="00BB11A8"/>
    <w:rsid w:val="00BB2026"/>
    <w:rsid w:val="00BB7F1E"/>
    <w:rsid w:val="00BC1710"/>
    <w:rsid w:val="00BC2ABE"/>
    <w:rsid w:val="00BC31DB"/>
    <w:rsid w:val="00BC3B43"/>
    <w:rsid w:val="00BC5535"/>
    <w:rsid w:val="00BD3A1E"/>
    <w:rsid w:val="00BE02A7"/>
    <w:rsid w:val="00BE2788"/>
    <w:rsid w:val="00BE539C"/>
    <w:rsid w:val="00BE6F4C"/>
    <w:rsid w:val="00BE78CF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17D89"/>
    <w:rsid w:val="00C20343"/>
    <w:rsid w:val="00C227C2"/>
    <w:rsid w:val="00C249A2"/>
    <w:rsid w:val="00C2552A"/>
    <w:rsid w:val="00C268F6"/>
    <w:rsid w:val="00C444EA"/>
    <w:rsid w:val="00C44F99"/>
    <w:rsid w:val="00C50408"/>
    <w:rsid w:val="00C50DF8"/>
    <w:rsid w:val="00C5114A"/>
    <w:rsid w:val="00C55764"/>
    <w:rsid w:val="00C55BB5"/>
    <w:rsid w:val="00C57445"/>
    <w:rsid w:val="00C61DCC"/>
    <w:rsid w:val="00C64953"/>
    <w:rsid w:val="00C65409"/>
    <w:rsid w:val="00C673D5"/>
    <w:rsid w:val="00C71AD7"/>
    <w:rsid w:val="00C71FE5"/>
    <w:rsid w:val="00C72F22"/>
    <w:rsid w:val="00C745E3"/>
    <w:rsid w:val="00C7494D"/>
    <w:rsid w:val="00C75C2E"/>
    <w:rsid w:val="00C766EF"/>
    <w:rsid w:val="00C773FC"/>
    <w:rsid w:val="00C807AA"/>
    <w:rsid w:val="00C80EE6"/>
    <w:rsid w:val="00C817A7"/>
    <w:rsid w:val="00C82075"/>
    <w:rsid w:val="00C861B2"/>
    <w:rsid w:val="00C8729D"/>
    <w:rsid w:val="00CA2A8B"/>
    <w:rsid w:val="00CA65E9"/>
    <w:rsid w:val="00CB1784"/>
    <w:rsid w:val="00CB4339"/>
    <w:rsid w:val="00CB67B9"/>
    <w:rsid w:val="00CB6A55"/>
    <w:rsid w:val="00CC06D4"/>
    <w:rsid w:val="00CC1890"/>
    <w:rsid w:val="00CC4104"/>
    <w:rsid w:val="00CC4709"/>
    <w:rsid w:val="00CC480B"/>
    <w:rsid w:val="00CC72C5"/>
    <w:rsid w:val="00CC7310"/>
    <w:rsid w:val="00CD056C"/>
    <w:rsid w:val="00CD332E"/>
    <w:rsid w:val="00CD41C2"/>
    <w:rsid w:val="00CD4647"/>
    <w:rsid w:val="00CD7484"/>
    <w:rsid w:val="00CD7715"/>
    <w:rsid w:val="00CE00F3"/>
    <w:rsid w:val="00CE06FC"/>
    <w:rsid w:val="00CE4335"/>
    <w:rsid w:val="00D004B4"/>
    <w:rsid w:val="00D03331"/>
    <w:rsid w:val="00D04A33"/>
    <w:rsid w:val="00D062FA"/>
    <w:rsid w:val="00D073EA"/>
    <w:rsid w:val="00D07A87"/>
    <w:rsid w:val="00D110BB"/>
    <w:rsid w:val="00D12776"/>
    <w:rsid w:val="00D12ABA"/>
    <w:rsid w:val="00D12D35"/>
    <w:rsid w:val="00D16BE4"/>
    <w:rsid w:val="00D2092D"/>
    <w:rsid w:val="00D237EC"/>
    <w:rsid w:val="00D30EB1"/>
    <w:rsid w:val="00D31AFE"/>
    <w:rsid w:val="00D332D6"/>
    <w:rsid w:val="00D346FC"/>
    <w:rsid w:val="00D351C9"/>
    <w:rsid w:val="00D35444"/>
    <w:rsid w:val="00D35A08"/>
    <w:rsid w:val="00D3691D"/>
    <w:rsid w:val="00D371C4"/>
    <w:rsid w:val="00D42657"/>
    <w:rsid w:val="00D4419B"/>
    <w:rsid w:val="00D44A7B"/>
    <w:rsid w:val="00D471D1"/>
    <w:rsid w:val="00D50239"/>
    <w:rsid w:val="00D50E81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2BB6"/>
    <w:rsid w:val="00D933BC"/>
    <w:rsid w:val="00D96CBF"/>
    <w:rsid w:val="00DA100A"/>
    <w:rsid w:val="00DA25AD"/>
    <w:rsid w:val="00DA73E5"/>
    <w:rsid w:val="00DB0090"/>
    <w:rsid w:val="00DB1679"/>
    <w:rsid w:val="00DB7777"/>
    <w:rsid w:val="00DC2C72"/>
    <w:rsid w:val="00DC2F1C"/>
    <w:rsid w:val="00DC2F84"/>
    <w:rsid w:val="00DC4BA2"/>
    <w:rsid w:val="00DD038D"/>
    <w:rsid w:val="00DD4C8D"/>
    <w:rsid w:val="00DD7FB4"/>
    <w:rsid w:val="00DF11F3"/>
    <w:rsid w:val="00DF1C7E"/>
    <w:rsid w:val="00DF2CF8"/>
    <w:rsid w:val="00DF4AB0"/>
    <w:rsid w:val="00DF4B48"/>
    <w:rsid w:val="00DF66EE"/>
    <w:rsid w:val="00E00371"/>
    <w:rsid w:val="00E07A31"/>
    <w:rsid w:val="00E07C58"/>
    <w:rsid w:val="00E16992"/>
    <w:rsid w:val="00E17346"/>
    <w:rsid w:val="00E17C19"/>
    <w:rsid w:val="00E2219B"/>
    <w:rsid w:val="00E22461"/>
    <w:rsid w:val="00E23047"/>
    <w:rsid w:val="00E23270"/>
    <w:rsid w:val="00E23833"/>
    <w:rsid w:val="00E2596F"/>
    <w:rsid w:val="00E309FD"/>
    <w:rsid w:val="00E34DD0"/>
    <w:rsid w:val="00E403D4"/>
    <w:rsid w:val="00E50150"/>
    <w:rsid w:val="00E5049F"/>
    <w:rsid w:val="00E61308"/>
    <w:rsid w:val="00E61E70"/>
    <w:rsid w:val="00E61EE5"/>
    <w:rsid w:val="00E64653"/>
    <w:rsid w:val="00E67E38"/>
    <w:rsid w:val="00E76995"/>
    <w:rsid w:val="00E80E43"/>
    <w:rsid w:val="00E810E1"/>
    <w:rsid w:val="00E8311C"/>
    <w:rsid w:val="00E83ECA"/>
    <w:rsid w:val="00E85437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C6520"/>
    <w:rsid w:val="00ED12D7"/>
    <w:rsid w:val="00ED1806"/>
    <w:rsid w:val="00ED296A"/>
    <w:rsid w:val="00ED3F02"/>
    <w:rsid w:val="00ED457C"/>
    <w:rsid w:val="00EE0B92"/>
    <w:rsid w:val="00EE0F0E"/>
    <w:rsid w:val="00EE19C9"/>
    <w:rsid w:val="00EE2329"/>
    <w:rsid w:val="00EE45C3"/>
    <w:rsid w:val="00EE68D2"/>
    <w:rsid w:val="00EF14B7"/>
    <w:rsid w:val="00EF44AD"/>
    <w:rsid w:val="00F014F8"/>
    <w:rsid w:val="00F05715"/>
    <w:rsid w:val="00F13937"/>
    <w:rsid w:val="00F141F1"/>
    <w:rsid w:val="00F144B9"/>
    <w:rsid w:val="00F17267"/>
    <w:rsid w:val="00F237B1"/>
    <w:rsid w:val="00F2468D"/>
    <w:rsid w:val="00F27587"/>
    <w:rsid w:val="00F307F9"/>
    <w:rsid w:val="00F3131F"/>
    <w:rsid w:val="00F31BE4"/>
    <w:rsid w:val="00F32538"/>
    <w:rsid w:val="00F34A00"/>
    <w:rsid w:val="00F34D93"/>
    <w:rsid w:val="00F413B3"/>
    <w:rsid w:val="00F41C4F"/>
    <w:rsid w:val="00F46C9B"/>
    <w:rsid w:val="00F50D39"/>
    <w:rsid w:val="00F50F82"/>
    <w:rsid w:val="00F535FA"/>
    <w:rsid w:val="00F53650"/>
    <w:rsid w:val="00F61472"/>
    <w:rsid w:val="00F618F0"/>
    <w:rsid w:val="00F62AEB"/>
    <w:rsid w:val="00F65201"/>
    <w:rsid w:val="00F66A6D"/>
    <w:rsid w:val="00F707BD"/>
    <w:rsid w:val="00F72010"/>
    <w:rsid w:val="00F76279"/>
    <w:rsid w:val="00F76428"/>
    <w:rsid w:val="00F77798"/>
    <w:rsid w:val="00F77B4D"/>
    <w:rsid w:val="00F820F7"/>
    <w:rsid w:val="00F82F19"/>
    <w:rsid w:val="00F83A44"/>
    <w:rsid w:val="00F85C22"/>
    <w:rsid w:val="00F86B12"/>
    <w:rsid w:val="00F87476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7A50"/>
    <w:rsid w:val="00FC0DF5"/>
    <w:rsid w:val="00FC44B5"/>
    <w:rsid w:val="00FC60F3"/>
    <w:rsid w:val="00FC6127"/>
    <w:rsid w:val="00FC7A4D"/>
    <w:rsid w:val="00FD08A0"/>
    <w:rsid w:val="00FD2E42"/>
    <w:rsid w:val="00FD4AA6"/>
    <w:rsid w:val="00FE29AF"/>
    <w:rsid w:val="00FE2B9E"/>
    <w:rsid w:val="00FE6123"/>
    <w:rsid w:val="00FE6555"/>
    <w:rsid w:val="00FF188C"/>
    <w:rsid w:val="00FF2A73"/>
    <w:rsid w:val="00FF3A60"/>
    <w:rsid w:val="00FF51E1"/>
    <w:rsid w:val="00FF5702"/>
    <w:rsid w:val="021B5906"/>
    <w:rsid w:val="057A17B3"/>
    <w:rsid w:val="14BA7E1E"/>
    <w:rsid w:val="15E146E3"/>
    <w:rsid w:val="186C46AA"/>
    <w:rsid w:val="1D4B20A2"/>
    <w:rsid w:val="2B2B0E24"/>
    <w:rsid w:val="2BB807BB"/>
    <w:rsid w:val="30924E08"/>
    <w:rsid w:val="49B52245"/>
    <w:rsid w:val="4A4C666D"/>
    <w:rsid w:val="5280431E"/>
    <w:rsid w:val="5F372FDA"/>
    <w:rsid w:val="5FAF574D"/>
    <w:rsid w:val="6287125E"/>
    <w:rsid w:val="6DFF8B39"/>
    <w:rsid w:val="79654980"/>
    <w:rsid w:val="7C3F5556"/>
    <w:rsid w:val="B4DC959D"/>
    <w:rsid w:val="DF2F9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2"/>
    <w:qFormat/>
    <w:uiPriority w:val="0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22"/>
    <w:rPr>
      <w:b/>
      <w:bCs/>
    </w:rPr>
  </w:style>
  <w:style w:type="character" w:styleId="14">
    <w:name w:val="FollowedHyperlink"/>
    <w:basedOn w:val="12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qFormat/>
    <w:uiPriority w:val="0"/>
    <w:rPr>
      <w:color w:val="0068B7"/>
      <w:u w:val="none"/>
    </w:rPr>
  </w:style>
  <w:style w:type="character" w:styleId="16">
    <w:name w:val="annotation reference"/>
    <w:basedOn w:val="12"/>
    <w:qFormat/>
    <w:uiPriority w:val="0"/>
    <w:rPr>
      <w:sz w:val="21"/>
      <w:szCs w:val="21"/>
    </w:rPr>
  </w:style>
  <w:style w:type="character" w:customStyle="1" w:styleId="17">
    <w:name w:val="141"/>
    <w:qFormat/>
    <w:uiPriority w:val="0"/>
    <w:rPr>
      <w:sz w:val="21"/>
      <w:szCs w:val="21"/>
    </w:rPr>
  </w:style>
  <w:style w:type="character" w:customStyle="1" w:styleId="18">
    <w:name w:val="ztag pre"/>
    <w:basedOn w:val="12"/>
    <w:qFormat/>
    <w:uiPriority w:val="0"/>
  </w:style>
  <w:style w:type="character" w:customStyle="1" w:styleId="19">
    <w:name w:val="已访问的超链接1"/>
    <w:qFormat/>
    <w:uiPriority w:val="0"/>
    <w:rPr>
      <w:color w:val="800080"/>
      <w:u w:val="single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2"/>
    <w:link w:val="3"/>
    <w:qFormat/>
    <w:uiPriority w:val="0"/>
    <w:rPr>
      <w:kern w:val="2"/>
      <w:sz w:val="21"/>
      <w:szCs w:val="24"/>
    </w:rPr>
  </w:style>
  <w:style w:type="character" w:customStyle="1" w:styleId="22">
    <w:name w:val="批注主题 字符"/>
    <w:basedOn w:val="21"/>
    <w:link w:val="9"/>
    <w:qFormat/>
    <w:uiPriority w:val="0"/>
    <w:rPr>
      <w:b/>
      <w:bCs/>
      <w:kern w:val="2"/>
      <w:sz w:val="21"/>
      <w:szCs w:val="24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4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5">
    <w:name w:val="high-light-bg"/>
    <w:basedOn w:val="12"/>
    <w:qFormat/>
    <w:uiPriority w:val="0"/>
  </w:style>
  <w:style w:type="character" w:customStyle="1" w:styleId="26">
    <w:name w:val="页眉 字符"/>
    <w:basedOn w:val="12"/>
    <w:link w:val="8"/>
    <w:uiPriority w:val="99"/>
    <w:rPr>
      <w:kern w:val="2"/>
      <w:sz w:val="18"/>
      <w:szCs w:val="18"/>
    </w:rPr>
  </w:style>
  <w:style w:type="character" w:customStyle="1" w:styleId="27">
    <w:name w:val="页脚 字符"/>
    <w:basedOn w:val="12"/>
    <w:link w:val="7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7</Pages>
  <Words>723</Words>
  <Characters>4124</Characters>
  <Lines>34</Lines>
  <Paragraphs>9</Paragraphs>
  <TotalTime>67</TotalTime>
  <ScaleCrop>false</ScaleCrop>
  <LinksUpToDate>false</LinksUpToDate>
  <CharactersWithSpaces>4838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2017-10-14T09:52:00Z</dcterms:created>
  <dc:creator>全美国际教育协会</dc:creator>
  <cp:lastModifiedBy>Peng Hou</cp:lastModifiedBy>
  <cp:lastPrinted>2011-12-17T16:54:00Z</cp:lastPrinted>
  <dcterms:modified xsi:type="dcterms:W3CDTF">2026-01-20T17:08:26Z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F52CA54CBCDB4B538880B262D65C7A50_12</vt:lpwstr>
  </property>
  <property fmtid="{D5CDD505-2E9C-101B-9397-08002B2CF9AE}" pid="4" name="KSOTemplateDocerSaveRecord">
    <vt:lpwstr>eyJoZGlkIjoiMDA0ZjM1NmVjYTQ1MzM4ZDVmNGU5Yjg5YjJmZjEwNzEifQ==</vt:lpwstr>
  </property>
</Properties>
</file>